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6CC60" w14:textId="78BA87DB" w:rsidR="000611C6" w:rsidRPr="000611C6" w:rsidRDefault="000611C6" w:rsidP="000611C6">
      <w:pPr>
        <w:pStyle w:val="NoSpacing"/>
        <w:contextualSpacing/>
        <w:jc w:val="both"/>
        <w:rPr>
          <w:rFonts w:ascii="Arial" w:hAnsi="Arial" w:cs="Arial"/>
          <w:b/>
          <w:sz w:val="28"/>
          <w:szCs w:val="28"/>
          <w:lang w:val="en-GB"/>
        </w:rPr>
      </w:pPr>
      <w:r w:rsidRPr="000611C6">
        <w:rPr>
          <w:rFonts w:ascii="Arial" w:hAnsi="Arial" w:cs="Arial"/>
          <w:b/>
          <w:sz w:val="28"/>
          <w:szCs w:val="28"/>
          <w:lang w:val="en-GB"/>
        </w:rPr>
        <w:t>3GPP TSG RAN WG4 #112bis</w:t>
      </w:r>
      <w:r w:rsidRPr="000611C6">
        <w:rPr>
          <w:rFonts w:ascii="Arial" w:hAnsi="Arial" w:cs="Arial"/>
          <w:b/>
          <w:sz w:val="28"/>
          <w:szCs w:val="28"/>
          <w:lang w:val="en-GB"/>
        </w:rPr>
        <w:tab/>
      </w:r>
      <w:r w:rsidRPr="000611C6">
        <w:rPr>
          <w:rFonts w:ascii="Arial" w:hAnsi="Arial" w:cs="Arial"/>
          <w:b/>
          <w:sz w:val="28"/>
          <w:szCs w:val="28"/>
          <w:lang w:val="en-GB"/>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Pr>
          <w:rFonts w:ascii="Arial" w:hAnsi="Arial" w:cs="Arial"/>
          <w:b/>
          <w:sz w:val="28"/>
          <w:szCs w:val="28"/>
          <w:lang w:val="en-GB" w:eastAsia="zh-CN"/>
        </w:rPr>
        <w:t xml:space="preserve">     </w:t>
      </w:r>
      <w:r w:rsidR="00721AC4" w:rsidRPr="00721AC4">
        <w:rPr>
          <w:rFonts w:ascii="Arial" w:hAnsi="Arial" w:cs="Arial"/>
          <w:b/>
          <w:sz w:val="28"/>
          <w:szCs w:val="28"/>
          <w:lang w:val="en-GB"/>
        </w:rPr>
        <w:t>R4-2416481</w:t>
      </w:r>
    </w:p>
    <w:p w14:paraId="68BB5185" w14:textId="30DC67C3" w:rsidR="000611C6" w:rsidRPr="00E913CF" w:rsidRDefault="000611C6" w:rsidP="000611C6">
      <w:pPr>
        <w:pStyle w:val="NoSpacing"/>
        <w:contextualSpacing/>
        <w:jc w:val="both"/>
        <w:rPr>
          <w:rFonts w:ascii="Arial" w:hAnsi="Arial" w:cs="Arial"/>
          <w:b/>
          <w:sz w:val="28"/>
          <w:szCs w:val="28"/>
        </w:rPr>
      </w:pPr>
      <w:r>
        <w:rPr>
          <w:rFonts w:ascii="Arial" w:hAnsi="Arial" w:cs="Arial"/>
          <w:b/>
          <w:sz w:val="28"/>
          <w:szCs w:val="28"/>
        </w:rPr>
        <w:t>Hefei, CN, October 14</w:t>
      </w:r>
      <w:r w:rsidRPr="00C05EFB">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w:t>
      </w:r>
      <w:r>
        <w:rPr>
          <w:rFonts w:ascii="Arial" w:hAnsi="Arial" w:cs="Arial"/>
          <w:b/>
          <w:sz w:val="28"/>
          <w:szCs w:val="28"/>
        </w:rPr>
        <w:t xml:space="preserve"> 18</w:t>
      </w:r>
      <w:r>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4</w:t>
      </w:r>
    </w:p>
    <w:p w14:paraId="75334291" w14:textId="77777777" w:rsidR="000611C6" w:rsidRPr="000D3066" w:rsidRDefault="000611C6" w:rsidP="000611C6">
      <w:pPr>
        <w:pStyle w:val="NoSpacing"/>
        <w:contextualSpacing/>
        <w:jc w:val="both"/>
        <w:rPr>
          <w:rFonts w:ascii="Arial" w:hAnsi="Arial" w:cs="Arial"/>
          <w:b/>
          <w:sz w:val="24"/>
          <w:szCs w:val="24"/>
          <w:lang w:eastAsia="zh-CN"/>
        </w:rPr>
      </w:pPr>
    </w:p>
    <w:p w14:paraId="4A8D9A0E" w14:textId="77777777" w:rsidR="000611C6" w:rsidRPr="000D3066" w:rsidRDefault="000611C6" w:rsidP="000611C6">
      <w:pPr>
        <w:pStyle w:val="NoSpacing"/>
        <w:contextualSpacing/>
        <w:jc w:val="both"/>
        <w:rPr>
          <w:rFonts w:ascii="Arial" w:hAnsi="Arial" w:cs="Arial"/>
          <w:b/>
          <w:sz w:val="24"/>
          <w:szCs w:val="24"/>
          <w:lang w:eastAsia="zh-CN"/>
        </w:rPr>
      </w:pPr>
    </w:p>
    <w:p w14:paraId="355BDBC9" w14:textId="1EF32FD0" w:rsidR="000611C6" w:rsidRPr="000D3066" w:rsidRDefault="000611C6" w:rsidP="000611C6">
      <w:pPr>
        <w:pStyle w:val="NoSpacing"/>
        <w:contextualSpacing/>
        <w:jc w:val="both"/>
        <w:rPr>
          <w:rFonts w:ascii="Arial"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721AC4" w:rsidRPr="00721AC4">
        <w:rPr>
          <w:rFonts w:ascii="Arial" w:hAnsi="Arial" w:cs="Arial"/>
          <w:b/>
          <w:sz w:val="24"/>
          <w:szCs w:val="24"/>
        </w:rPr>
        <w:t>6.8.3.1</w:t>
      </w:r>
    </w:p>
    <w:p w14:paraId="200B798D" w14:textId="1A052A16" w:rsidR="000611C6" w:rsidRPr="0052022F" w:rsidRDefault="000611C6" w:rsidP="000611C6">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Inmarsat</w:t>
      </w:r>
      <w:r w:rsidR="00721AC4">
        <w:rPr>
          <w:rFonts w:ascii="Arial" w:hAnsi="Arial" w:cs="Arial"/>
          <w:b/>
          <w:sz w:val="24"/>
          <w:szCs w:val="24"/>
        </w:rPr>
        <w:t>, Viasat</w:t>
      </w:r>
    </w:p>
    <w:p w14:paraId="7342CD4B" w14:textId="744205A2"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CA55C2" w:rsidRPr="00CA55C2">
        <w:rPr>
          <w:rFonts w:ascii="Arial" w:hAnsi="Arial" w:cs="Arial"/>
          <w:b/>
          <w:sz w:val="24"/>
          <w:szCs w:val="24"/>
          <w:lang w:val="en-GB"/>
        </w:rPr>
        <w:t>Operator input for NR NTN Less than 5 MHz</w:t>
      </w:r>
    </w:p>
    <w:p w14:paraId="64CAA37D" w14:textId="76FC57AE" w:rsidR="000611C6" w:rsidRPr="007B491C"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Pr>
          <w:rFonts w:ascii="Arial" w:hAnsi="Arial" w:cs="Arial"/>
          <w:b/>
          <w:sz w:val="24"/>
          <w:szCs w:val="24"/>
        </w:rPr>
        <w:t>Discussion</w:t>
      </w:r>
      <w:r w:rsidR="00CA55C2">
        <w:rPr>
          <w:rFonts w:ascii="Arial" w:hAnsi="Arial" w:cs="Arial"/>
          <w:b/>
          <w:sz w:val="24"/>
          <w:szCs w:val="24"/>
        </w:rPr>
        <w:t xml:space="preserve"> and Decision</w:t>
      </w:r>
    </w:p>
    <w:p w14:paraId="4CEEEC51" w14:textId="77777777" w:rsidR="000611C6" w:rsidRDefault="000611C6" w:rsidP="000611C6"/>
    <w:p w14:paraId="04ECCD93" w14:textId="5629F7E3" w:rsidR="000611C6" w:rsidRPr="00721AC4" w:rsidRDefault="000611C6" w:rsidP="000611C6">
      <w:pPr>
        <w:pStyle w:val="Heading1"/>
        <w:numPr>
          <w:ilvl w:val="0"/>
          <w:numId w:val="1"/>
        </w:numPr>
        <w:tabs>
          <w:tab w:val="num" w:pos="360"/>
        </w:tabs>
        <w:spacing w:before="0" w:after="240"/>
        <w:ind w:left="1134" w:hanging="1134"/>
        <w:jc w:val="both"/>
      </w:pPr>
      <w:r w:rsidRPr="00721AC4">
        <w:t>Background</w:t>
      </w:r>
    </w:p>
    <w:p w14:paraId="4467A9F7" w14:textId="4E013A91" w:rsidR="00915494" w:rsidRDefault="007A7707" w:rsidP="00F61AF1">
      <w:r>
        <w:rPr>
          <w:noProof/>
        </w:rPr>
        <mc:AlternateContent>
          <mc:Choice Requires="wps">
            <w:drawing>
              <wp:anchor distT="45720" distB="45720" distL="114300" distR="114300" simplePos="0" relativeHeight="251659264" behindDoc="0" locked="0" layoutInCell="1" allowOverlap="1" wp14:anchorId="55E45EE7" wp14:editId="70945CE0">
                <wp:simplePos x="0" y="0"/>
                <wp:positionH relativeFrom="margin">
                  <wp:align>left</wp:align>
                </wp:positionH>
                <wp:positionV relativeFrom="paragraph">
                  <wp:posOffset>504825</wp:posOffset>
                </wp:positionV>
                <wp:extent cx="6108065" cy="1404620"/>
                <wp:effectExtent l="0" t="0" r="2603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1404620"/>
                        </a:xfrm>
                        <a:prstGeom prst="rect">
                          <a:avLst/>
                        </a:prstGeom>
                        <a:solidFill>
                          <a:srgbClr val="FFFFFF"/>
                        </a:solidFill>
                        <a:ln w="9525">
                          <a:solidFill>
                            <a:srgbClr val="000000"/>
                          </a:solidFill>
                          <a:miter lim="800000"/>
                          <a:headEnd/>
                          <a:tailEnd/>
                        </a:ln>
                      </wps:spPr>
                      <wps:txbx>
                        <w:txbxContent>
                          <w:p w14:paraId="70FD43B5" w14:textId="38D6DE00" w:rsidR="007A7707" w:rsidRPr="00CE43B7" w:rsidRDefault="007A7707" w:rsidP="007A7707">
                            <w:pPr>
                              <w:rPr>
                                <w:b/>
                                <w:u w:val="single"/>
                                <w:lang w:eastAsia="ko-KR"/>
                              </w:rPr>
                            </w:pPr>
                            <w:r w:rsidRPr="00CE43B7">
                              <w:rPr>
                                <w:b/>
                                <w:u w:val="single"/>
                                <w:lang w:eastAsia="ko-KR"/>
                              </w:rPr>
                              <w:t>Issue 1-</w:t>
                            </w:r>
                            <w:r>
                              <w:rPr>
                                <w:b/>
                                <w:u w:val="single"/>
                                <w:lang w:eastAsia="ko-KR"/>
                              </w:rPr>
                              <w:t>2-3</w:t>
                            </w:r>
                            <w:r w:rsidRPr="00CE43B7">
                              <w:rPr>
                                <w:b/>
                                <w:u w:val="single"/>
                                <w:lang w:eastAsia="ko-KR"/>
                              </w:rPr>
                              <w:t xml:space="preserve">: </w:t>
                            </w:r>
                            <w:r w:rsidRPr="00575B89">
                              <w:rPr>
                                <w:rFonts w:hint="eastAsia"/>
                                <w:b/>
                                <w:u w:val="single"/>
                                <w:lang w:eastAsia="ko-KR"/>
                              </w:rPr>
                              <w:t xml:space="preserve">Synchronization </w:t>
                            </w:r>
                            <w:r w:rsidRPr="00575B89">
                              <w:rPr>
                                <w:b/>
                                <w:u w:val="single"/>
                                <w:lang w:eastAsia="ko-KR"/>
                              </w:rPr>
                              <w:t>r</w:t>
                            </w:r>
                            <w:r w:rsidRPr="00575B89">
                              <w:rPr>
                                <w:rFonts w:hint="eastAsia"/>
                                <w:b/>
                                <w:u w:val="single"/>
                                <w:lang w:eastAsia="ko-KR"/>
                              </w:rPr>
                              <w:t>aster</w:t>
                            </w:r>
                          </w:p>
                          <w:p w14:paraId="3F1B778E" w14:textId="77777777" w:rsidR="007A7707" w:rsidRPr="00CE43B7" w:rsidRDefault="007A7707" w:rsidP="007A7707">
                            <w:pPr>
                              <w:pStyle w:val="ListParagraph"/>
                              <w:numPr>
                                <w:ilvl w:val="0"/>
                                <w:numId w:val="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Agreement</w:t>
                            </w:r>
                          </w:p>
                          <w:p w14:paraId="1BC665B8" w14:textId="77777777" w:rsidR="007A7707" w:rsidRPr="00681028" w:rsidRDefault="007A7707" w:rsidP="007A7707">
                            <w:pPr>
                              <w:pStyle w:val="ListParagraph"/>
                              <w:numPr>
                                <w:ilvl w:val="1"/>
                                <w:numId w:val="8"/>
                              </w:numPr>
                              <w:overflowPunct/>
                              <w:autoSpaceDE/>
                              <w:autoSpaceDN/>
                              <w:adjustRightInd/>
                              <w:spacing w:after="120"/>
                              <w:ind w:left="1440"/>
                              <w:contextualSpacing w:val="0"/>
                              <w:textAlignment w:val="auto"/>
                              <w:rPr>
                                <w:rFonts w:eastAsia="SimSun"/>
                                <w:szCs w:val="24"/>
                                <w:lang w:eastAsia="zh-CN"/>
                              </w:rPr>
                            </w:pPr>
                            <w:r>
                              <w:rPr>
                                <w:rFonts w:eastAsia="SimSun"/>
                                <w:szCs w:val="24"/>
                                <w:lang w:eastAsia="zh-CN"/>
                              </w:rPr>
                              <w:t xml:space="preserve">Reuse </w:t>
                            </w:r>
                            <w:r w:rsidRPr="00881B66">
                              <w:rPr>
                                <w:lang w:eastAsia="zh-CN"/>
                              </w:rPr>
                              <w:t xml:space="preserve">TN </w:t>
                            </w:r>
                            <w:r>
                              <w:rPr>
                                <w:lang w:eastAsia="zh-CN"/>
                              </w:rPr>
                              <w:t xml:space="preserve">sync raster for </w:t>
                            </w:r>
                            <w:r w:rsidRPr="00881B66">
                              <w:rPr>
                                <w:lang w:eastAsia="zh-CN"/>
                              </w:rPr>
                              <w:t xml:space="preserve">3MHz </w:t>
                            </w:r>
                            <w:r>
                              <w:rPr>
                                <w:lang w:eastAsia="zh-CN"/>
                              </w:rPr>
                              <w:t>channel bandwidth and extend</w:t>
                            </w:r>
                            <w:r w:rsidRPr="00881B66">
                              <w:rPr>
                                <w:lang w:eastAsia="zh-CN"/>
                              </w:rPr>
                              <w:t xml:space="preserve"> to 3000MHz for NTN FR1 3MHz </w:t>
                            </w:r>
                            <w:r>
                              <w:rPr>
                                <w:lang w:eastAsia="zh-CN"/>
                              </w:rPr>
                              <w:t xml:space="preserve">channel bandwidth as below table: </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3166"/>
                              <w:gridCol w:w="1726"/>
                              <w:gridCol w:w="1787"/>
                            </w:tblGrid>
                            <w:tr w:rsidR="007A7707" w:rsidRPr="00162BDB" w14:paraId="507DFA50" w14:textId="77777777" w:rsidTr="00BD11E7">
                              <w:trPr>
                                <w:trHeight w:val="288"/>
                                <w:jc w:val="center"/>
                              </w:trPr>
                              <w:tc>
                                <w:tcPr>
                                  <w:tcW w:w="2150" w:type="dxa"/>
                                  <w:shd w:val="clear" w:color="auto" w:fill="auto"/>
                                  <w:vAlign w:val="center"/>
                                </w:tcPr>
                                <w:p w14:paraId="2539033C" w14:textId="77777777" w:rsidR="007A7707" w:rsidRPr="00C55D16" w:rsidRDefault="007A7707" w:rsidP="007A7707">
                                  <w:pPr>
                                    <w:pStyle w:val="TAH"/>
                                    <w:rPr>
                                      <w:rFonts w:ascii="Times New Roman" w:hAnsi="Times New Roman"/>
                                      <w:b w:val="0"/>
                                    </w:rPr>
                                  </w:pPr>
                                  <w:r w:rsidRPr="00C55D16">
                                    <w:rPr>
                                      <w:rFonts w:ascii="Times New Roman" w:hAnsi="Times New Roman"/>
                                      <w:b w:val="0"/>
                                    </w:rPr>
                                    <w:t>Range of frequencies (MHz)</w:t>
                                  </w:r>
                                </w:p>
                              </w:tc>
                              <w:tc>
                                <w:tcPr>
                                  <w:tcW w:w="3166" w:type="dxa"/>
                                  <w:shd w:val="clear" w:color="auto" w:fill="auto"/>
                                  <w:vAlign w:val="center"/>
                                </w:tcPr>
                                <w:p w14:paraId="173DE1E7" w14:textId="77777777" w:rsidR="007A7707" w:rsidRPr="00C55D16" w:rsidRDefault="007A7707" w:rsidP="007A7707">
                                  <w:pPr>
                                    <w:pStyle w:val="TAH"/>
                                    <w:rPr>
                                      <w:rFonts w:ascii="Times New Roman" w:hAnsi="Times New Roman"/>
                                      <w:b w:val="0"/>
                                    </w:rPr>
                                  </w:pPr>
                                  <w:r w:rsidRPr="00C55D16">
                                    <w:rPr>
                                      <w:rFonts w:ascii="Times New Roman" w:hAnsi="Times New Roman"/>
                                      <w:b w:val="0"/>
                                    </w:rPr>
                                    <w:t>SS block frequency position SS</w:t>
                                  </w:r>
                                  <w:r w:rsidRPr="00C55D16">
                                    <w:rPr>
                                      <w:rFonts w:ascii="Times New Roman" w:hAnsi="Times New Roman"/>
                                      <w:b w:val="0"/>
                                      <w:vertAlign w:val="subscript"/>
                                    </w:rPr>
                                    <w:t>REF</w:t>
                                  </w:r>
                                </w:p>
                              </w:tc>
                              <w:tc>
                                <w:tcPr>
                                  <w:tcW w:w="1726" w:type="dxa"/>
                                  <w:vAlign w:val="center"/>
                                </w:tcPr>
                                <w:p w14:paraId="3C100ADF" w14:textId="77777777" w:rsidR="007A7707" w:rsidRPr="00C55D16" w:rsidRDefault="007A7707" w:rsidP="007A7707">
                                  <w:pPr>
                                    <w:pStyle w:val="TAH"/>
                                    <w:rPr>
                                      <w:rFonts w:ascii="Times New Roman" w:hAnsi="Times New Roman"/>
                                      <w:b w:val="0"/>
                                    </w:rPr>
                                  </w:pPr>
                                  <w:r w:rsidRPr="00C55D16">
                                    <w:rPr>
                                      <w:rFonts w:ascii="Times New Roman" w:hAnsi="Times New Roman"/>
                                      <w:b w:val="0"/>
                                    </w:rPr>
                                    <w:t>GSCN</w:t>
                                  </w:r>
                                </w:p>
                              </w:tc>
                              <w:tc>
                                <w:tcPr>
                                  <w:tcW w:w="1787" w:type="dxa"/>
                                  <w:shd w:val="clear" w:color="auto" w:fill="auto"/>
                                  <w:vAlign w:val="center"/>
                                </w:tcPr>
                                <w:p w14:paraId="4E7DF071" w14:textId="77777777" w:rsidR="007A7707" w:rsidRPr="00C55D16" w:rsidRDefault="007A7707" w:rsidP="007A7707">
                                  <w:pPr>
                                    <w:pStyle w:val="TAH"/>
                                    <w:rPr>
                                      <w:rFonts w:ascii="Times New Roman" w:hAnsi="Times New Roman"/>
                                      <w:b w:val="0"/>
                                    </w:rPr>
                                  </w:pPr>
                                  <w:r w:rsidRPr="00C55D16">
                                    <w:rPr>
                                      <w:rFonts w:ascii="Times New Roman" w:hAnsi="Times New Roman"/>
                                      <w:b w:val="0"/>
                                    </w:rPr>
                                    <w:t>Range of GSCN</w:t>
                                  </w:r>
                                </w:p>
                              </w:tc>
                            </w:tr>
                            <w:tr w:rsidR="007A7707" w:rsidRPr="00162BDB" w14:paraId="0357D986" w14:textId="77777777" w:rsidTr="00BD11E7">
                              <w:trPr>
                                <w:trHeight w:val="293"/>
                                <w:jc w:val="center"/>
                              </w:trPr>
                              <w:tc>
                                <w:tcPr>
                                  <w:tcW w:w="2150" w:type="dxa"/>
                                  <w:shd w:val="clear" w:color="auto" w:fill="auto"/>
                                  <w:vAlign w:val="center"/>
                                </w:tcPr>
                                <w:p w14:paraId="0BF8B20C" w14:textId="77777777" w:rsidR="007A7707" w:rsidRPr="00C55D16" w:rsidRDefault="007A7707" w:rsidP="007A7707">
                                  <w:pPr>
                                    <w:pStyle w:val="TAC"/>
                                    <w:rPr>
                                      <w:rFonts w:ascii="Times New Roman" w:hAnsi="Times New Roman"/>
                                    </w:rPr>
                                  </w:pPr>
                                  <w:r w:rsidRPr="00C55D16">
                                    <w:rPr>
                                      <w:rFonts w:ascii="Times New Roman" w:hAnsi="Times New Roman"/>
                                      <w:lang w:eastAsia="ja-JP"/>
                                    </w:rPr>
                                    <w:t xml:space="preserve">0 – </w:t>
                                  </w:r>
                                  <w:r w:rsidRPr="00C55D16">
                                    <w:rPr>
                                      <w:rFonts w:ascii="Times New Roman" w:eastAsia="MS Mincho" w:hAnsi="Times New Roman"/>
                                      <w:lang w:eastAsia="ja-JP"/>
                                    </w:rPr>
                                    <w:t>3</w:t>
                                  </w:r>
                                  <w:r w:rsidRPr="00C55D16">
                                    <w:rPr>
                                      <w:rFonts w:ascii="Times New Roman" w:hAnsi="Times New Roman"/>
                                      <w:lang w:eastAsia="ja-JP"/>
                                    </w:rPr>
                                    <w:t>000</w:t>
                                  </w:r>
                                </w:p>
                              </w:tc>
                              <w:tc>
                                <w:tcPr>
                                  <w:tcW w:w="3166" w:type="dxa"/>
                                  <w:shd w:val="clear" w:color="auto" w:fill="auto"/>
                                  <w:vAlign w:val="center"/>
                                </w:tcPr>
                                <w:p w14:paraId="5ED327CF" w14:textId="77777777" w:rsidR="007A7707" w:rsidRPr="00C55D16" w:rsidRDefault="007A7707" w:rsidP="007A7707">
                                  <w:pPr>
                                    <w:pStyle w:val="TAC"/>
                                    <w:rPr>
                                      <w:rFonts w:ascii="Times New Roman" w:hAnsi="Times New Roman"/>
                                    </w:rPr>
                                  </w:pPr>
                                  <w:r w:rsidRPr="00C55D16">
                                    <w:rPr>
                                      <w:rFonts w:ascii="Times New Roman" w:hAnsi="Times New Roman"/>
                                    </w:rPr>
                                    <w:t>N * 600 kHz + M * 50 kHz + 300 kHz,</w:t>
                                  </w:r>
                                </w:p>
                                <w:p w14:paraId="65AB2BE7" w14:textId="77777777" w:rsidR="007A7707" w:rsidRPr="00C55D16" w:rsidRDefault="007A7707" w:rsidP="007A7707">
                                  <w:pPr>
                                    <w:pStyle w:val="TAC"/>
                                    <w:rPr>
                                      <w:rFonts w:ascii="Times New Roman" w:hAnsi="Times New Roman"/>
                                    </w:rPr>
                                  </w:pPr>
                                  <w:r w:rsidRPr="00C55D16">
                                    <w:rPr>
                                      <w:rFonts w:ascii="Times New Roman" w:hAnsi="Times New Roman"/>
                                    </w:rPr>
                                    <w:t>N = 1:</w:t>
                                  </w:r>
                                  <w:r w:rsidRPr="00C55D16">
                                    <w:rPr>
                                      <w:rFonts w:ascii="Times New Roman" w:eastAsia="MS Mincho" w:hAnsi="Times New Roman"/>
                                      <w:lang w:eastAsia="ja-JP"/>
                                    </w:rPr>
                                    <w:t>4999</w:t>
                                  </w:r>
                                  <w:r w:rsidRPr="00C55D16">
                                    <w:rPr>
                                      <w:rFonts w:ascii="Times New Roman" w:hAnsi="Times New Roman"/>
                                    </w:rPr>
                                    <w:t>, M ϵ {1,3,5} (Note 1)</w:t>
                                  </w:r>
                                </w:p>
                              </w:tc>
                              <w:tc>
                                <w:tcPr>
                                  <w:tcW w:w="1726" w:type="dxa"/>
                                  <w:vAlign w:val="center"/>
                                </w:tcPr>
                                <w:p w14:paraId="72C038D9" w14:textId="77777777" w:rsidR="007A7707" w:rsidRPr="00C55D16" w:rsidRDefault="007A7707" w:rsidP="007A7707">
                                  <w:pPr>
                                    <w:pStyle w:val="TAC"/>
                                    <w:rPr>
                                      <w:rFonts w:ascii="Times New Roman" w:hAnsi="Times New Roman"/>
                                    </w:rPr>
                                  </w:pPr>
                                  <w:r w:rsidRPr="00C55D16">
                                    <w:rPr>
                                      <w:rFonts w:ascii="Times New Roman" w:hAnsi="Times New Roman"/>
                                    </w:rPr>
                                    <w:t>26638+3N + (M-3)/2</w:t>
                                  </w:r>
                                </w:p>
                              </w:tc>
                              <w:tc>
                                <w:tcPr>
                                  <w:tcW w:w="1787" w:type="dxa"/>
                                  <w:shd w:val="clear" w:color="auto" w:fill="auto"/>
                                  <w:vAlign w:val="center"/>
                                </w:tcPr>
                                <w:p w14:paraId="5351C74E" w14:textId="77777777" w:rsidR="007A7707" w:rsidRPr="00C55D16" w:rsidRDefault="007A7707" w:rsidP="007A7707">
                                  <w:pPr>
                                    <w:pStyle w:val="TAC"/>
                                    <w:rPr>
                                      <w:rFonts w:ascii="Times New Roman" w:eastAsia="MS Mincho" w:hAnsi="Times New Roman"/>
                                      <w:lang w:eastAsia="ja-JP"/>
                                    </w:rPr>
                                  </w:pPr>
                                  <w:r w:rsidRPr="00C55D16">
                                    <w:rPr>
                                      <w:rFonts w:ascii="Times New Roman" w:hAnsi="Times New Roman"/>
                                    </w:rPr>
                                    <w:t xml:space="preserve">26640 – </w:t>
                                  </w:r>
                                  <w:r w:rsidRPr="00C55D16">
                                    <w:rPr>
                                      <w:rFonts w:ascii="Times New Roman" w:eastAsia="MS Mincho" w:hAnsi="Times New Roman"/>
                                      <w:lang w:eastAsia="ja-JP"/>
                                    </w:rPr>
                                    <w:t>41636</w:t>
                                  </w:r>
                                </w:p>
                              </w:tc>
                            </w:tr>
                          </w:tbl>
                          <w:p w14:paraId="5C40A984" w14:textId="77777777" w:rsidR="007A7707" w:rsidRPr="007109F7" w:rsidRDefault="007A7707" w:rsidP="007A7707">
                            <w:pPr>
                              <w:pStyle w:val="ListParagraph"/>
                              <w:overflowPunct/>
                              <w:autoSpaceDE/>
                              <w:autoSpaceDN/>
                              <w:adjustRightInd/>
                              <w:spacing w:after="120"/>
                              <w:textAlignment w:val="auto"/>
                              <w:rPr>
                                <w:rFonts w:hint="eastAsia"/>
                                <w:lang w:val="en-US" w:eastAsia="zh-CN"/>
                              </w:rPr>
                            </w:pPr>
                          </w:p>
                          <w:p w14:paraId="37B423DD" w14:textId="77777777" w:rsidR="007A7707" w:rsidRDefault="007A7707" w:rsidP="007A7707">
                            <w:pPr>
                              <w:pStyle w:val="ListParagraph"/>
                              <w:numPr>
                                <w:ilvl w:val="1"/>
                                <w:numId w:val="8"/>
                              </w:numPr>
                              <w:overflowPunct/>
                              <w:autoSpaceDE/>
                              <w:autoSpaceDN/>
                              <w:adjustRightInd/>
                              <w:spacing w:after="120"/>
                              <w:ind w:left="1440"/>
                              <w:contextualSpacing w:val="0"/>
                              <w:textAlignment w:val="auto"/>
                              <w:rPr>
                                <w:lang w:eastAsia="zh-CN"/>
                              </w:rPr>
                            </w:pPr>
                            <w:r>
                              <w:rPr>
                                <w:lang w:eastAsia="zh-CN"/>
                              </w:rPr>
                              <w:t>Include note1:</w:t>
                            </w:r>
                          </w:p>
                          <w:p w14:paraId="14D0B93E" w14:textId="77777777" w:rsidR="007A7707" w:rsidRPr="00C22D09" w:rsidRDefault="007A7707" w:rsidP="007A7707">
                            <w:pPr>
                              <w:pStyle w:val="ListParagraph"/>
                              <w:numPr>
                                <w:ilvl w:val="3"/>
                                <w:numId w:val="8"/>
                              </w:numPr>
                              <w:overflowPunct/>
                              <w:autoSpaceDE/>
                              <w:autoSpaceDN/>
                              <w:adjustRightInd/>
                              <w:spacing w:after="120"/>
                              <w:ind w:left="2058" w:hanging="357"/>
                              <w:contextualSpacing w:val="0"/>
                              <w:textAlignment w:val="auto"/>
                              <w:rPr>
                                <w:lang w:eastAsia="zh-CN"/>
                              </w:rPr>
                            </w:pPr>
                            <w:r w:rsidRPr="00C22D09">
                              <w:rPr>
                                <w:lang w:eastAsia="zh-CN"/>
                              </w:rPr>
                              <w:t>NOTE 1:</w:t>
                            </w:r>
                            <w:r w:rsidRPr="00C22D09">
                              <w:rPr>
                                <w:lang w:eastAsia="zh-CN"/>
                              </w:rPr>
                              <w:tab/>
                              <w:t xml:space="preserve">Only applicable for 15 PRB transmission </w:t>
                            </w:r>
                            <w:r>
                              <w:rPr>
                                <w:lang w:eastAsia="zh-CN"/>
                              </w:rPr>
                              <w:t xml:space="preserve">bandwidth configuration </w:t>
                            </w:r>
                            <w:r w:rsidRPr="00C22D09">
                              <w:rPr>
                                <w:lang w:eastAsia="zh-CN"/>
                              </w:rPr>
                              <w:t>within 3 MHz channel bandwidth with punctured PBCH defined in TS 38.211 [6] clause 7.4.3.1.</w:t>
                            </w:r>
                          </w:p>
                          <w:p w14:paraId="4CEA3C55" w14:textId="07FABAA4" w:rsidR="007A7707" w:rsidRDefault="007A77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E45EE7" id="_x0000_t202" coordsize="21600,21600" o:spt="202" path="m,l,21600r21600,l21600,xe">
                <v:stroke joinstyle="miter"/>
                <v:path gradientshapeok="t" o:connecttype="rect"/>
              </v:shapetype>
              <v:shape id="Text Box 2" o:spid="_x0000_s1026" type="#_x0000_t202" style="position:absolute;margin-left:0;margin-top:39.75pt;width:480.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ncV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">
                <v:textbox style="mso-fit-shape-to-text:t">
                  <w:txbxContent>
                    <w:p w14:paraId="70FD43B5" w14:textId="38D6DE00" w:rsidR="007A7707" w:rsidRPr="00CE43B7" w:rsidRDefault="007A7707" w:rsidP="007A7707">
                      <w:pPr>
                        <w:rPr>
                          <w:b/>
                          <w:u w:val="single"/>
                          <w:lang w:eastAsia="ko-KR"/>
                        </w:rPr>
                      </w:pPr>
                      <w:r w:rsidRPr="00CE43B7">
                        <w:rPr>
                          <w:b/>
                          <w:u w:val="single"/>
                          <w:lang w:eastAsia="ko-KR"/>
                        </w:rPr>
                        <w:t>Issue 1-</w:t>
                      </w:r>
                      <w:r>
                        <w:rPr>
                          <w:b/>
                          <w:u w:val="single"/>
                          <w:lang w:eastAsia="ko-KR"/>
                        </w:rPr>
                        <w:t>2-3</w:t>
                      </w:r>
                      <w:r w:rsidRPr="00CE43B7">
                        <w:rPr>
                          <w:b/>
                          <w:u w:val="single"/>
                          <w:lang w:eastAsia="ko-KR"/>
                        </w:rPr>
                        <w:t xml:space="preserve">: </w:t>
                      </w:r>
                      <w:r w:rsidRPr="00575B89">
                        <w:rPr>
                          <w:rFonts w:hint="eastAsia"/>
                          <w:b/>
                          <w:u w:val="single"/>
                          <w:lang w:eastAsia="ko-KR"/>
                        </w:rPr>
                        <w:t xml:space="preserve">Synchronization </w:t>
                      </w:r>
                      <w:r w:rsidRPr="00575B89">
                        <w:rPr>
                          <w:b/>
                          <w:u w:val="single"/>
                          <w:lang w:eastAsia="ko-KR"/>
                        </w:rPr>
                        <w:t>r</w:t>
                      </w:r>
                      <w:r w:rsidRPr="00575B89">
                        <w:rPr>
                          <w:rFonts w:hint="eastAsia"/>
                          <w:b/>
                          <w:u w:val="single"/>
                          <w:lang w:eastAsia="ko-KR"/>
                        </w:rPr>
                        <w:t>aster</w:t>
                      </w:r>
                    </w:p>
                    <w:p w14:paraId="3F1B778E" w14:textId="77777777" w:rsidR="007A7707" w:rsidRPr="00CE43B7" w:rsidRDefault="007A7707" w:rsidP="007A7707">
                      <w:pPr>
                        <w:pStyle w:val="ListParagraph"/>
                        <w:numPr>
                          <w:ilvl w:val="0"/>
                          <w:numId w:val="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Agreement</w:t>
                      </w:r>
                    </w:p>
                    <w:p w14:paraId="1BC665B8" w14:textId="77777777" w:rsidR="007A7707" w:rsidRPr="00681028" w:rsidRDefault="007A7707" w:rsidP="007A7707">
                      <w:pPr>
                        <w:pStyle w:val="ListParagraph"/>
                        <w:numPr>
                          <w:ilvl w:val="1"/>
                          <w:numId w:val="8"/>
                        </w:numPr>
                        <w:overflowPunct/>
                        <w:autoSpaceDE/>
                        <w:autoSpaceDN/>
                        <w:adjustRightInd/>
                        <w:spacing w:after="120"/>
                        <w:ind w:left="1440"/>
                        <w:contextualSpacing w:val="0"/>
                        <w:textAlignment w:val="auto"/>
                        <w:rPr>
                          <w:rFonts w:eastAsia="SimSun"/>
                          <w:szCs w:val="24"/>
                          <w:lang w:eastAsia="zh-CN"/>
                        </w:rPr>
                      </w:pPr>
                      <w:r>
                        <w:rPr>
                          <w:rFonts w:eastAsia="SimSun"/>
                          <w:szCs w:val="24"/>
                          <w:lang w:eastAsia="zh-CN"/>
                        </w:rPr>
                        <w:t xml:space="preserve">Reuse </w:t>
                      </w:r>
                      <w:r w:rsidRPr="00881B66">
                        <w:rPr>
                          <w:lang w:eastAsia="zh-CN"/>
                        </w:rPr>
                        <w:t xml:space="preserve">TN </w:t>
                      </w:r>
                      <w:r>
                        <w:rPr>
                          <w:lang w:eastAsia="zh-CN"/>
                        </w:rPr>
                        <w:t xml:space="preserve">sync raster for </w:t>
                      </w:r>
                      <w:r w:rsidRPr="00881B66">
                        <w:rPr>
                          <w:lang w:eastAsia="zh-CN"/>
                        </w:rPr>
                        <w:t xml:space="preserve">3MHz </w:t>
                      </w:r>
                      <w:r>
                        <w:rPr>
                          <w:lang w:eastAsia="zh-CN"/>
                        </w:rPr>
                        <w:t>channel bandwidth and extend</w:t>
                      </w:r>
                      <w:r w:rsidRPr="00881B66">
                        <w:rPr>
                          <w:lang w:eastAsia="zh-CN"/>
                        </w:rPr>
                        <w:t xml:space="preserve"> to 3000MHz for NTN FR1 3MHz </w:t>
                      </w:r>
                      <w:r>
                        <w:rPr>
                          <w:lang w:eastAsia="zh-CN"/>
                        </w:rPr>
                        <w:t xml:space="preserve">channel bandwidth as below table: </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3166"/>
                        <w:gridCol w:w="1726"/>
                        <w:gridCol w:w="1787"/>
                      </w:tblGrid>
                      <w:tr w:rsidR="007A7707" w:rsidRPr="00162BDB" w14:paraId="507DFA50" w14:textId="77777777" w:rsidTr="00BD11E7">
                        <w:trPr>
                          <w:trHeight w:val="288"/>
                          <w:jc w:val="center"/>
                        </w:trPr>
                        <w:tc>
                          <w:tcPr>
                            <w:tcW w:w="2150" w:type="dxa"/>
                            <w:shd w:val="clear" w:color="auto" w:fill="auto"/>
                            <w:vAlign w:val="center"/>
                          </w:tcPr>
                          <w:p w14:paraId="2539033C" w14:textId="77777777" w:rsidR="007A7707" w:rsidRPr="00C55D16" w:rsidRDefault="007A7707" w:rsidP="007A7707">
                            <w:pPr>
                              <w:pStyle w:val="TAH"/>
                              <w:rPr>
                                <w:rFonts w:ascii="Times New Roman" w:hAnsi="Times New Roman"/>
                                <w:b w:val="0"/>
                              </w:rPr>
                            </w:pPr>
                            <w:r w:rsidRPr="00C55D16">
                              <w:rPr>
                                <w:rFonts w:ascii="Times New Roman" w:hAnsi="Times New Roman"/>
                                <w:b w:val="0"/>
                              </w:rPr>
                              <w:t>Range of frequencies (MHz)</w:t>
                            </w:r>
                          </w:p>
                        </w:tc>
                        <w:tc>
                          <w:tcPr>
                            <w:tcW w:w="3166" w:type="dxa"/>
                            <w:shd w:val="clear" w:color="auto" w:fill="auto"/>
                            <w:vAlign w:val="center"/>
                          </w:tcPr>
                          <w:p w14:paraId="173DE1E7" w14:textId="77777777" w:rsidR="007A7707" w:rsidRPr="00C55D16" w:rsidRDefault="007A7707" w:rsidP="007A7707">
                            <w:pPr>
                              <w:pStyle w:val="TAH"/>
                              <w:rPr>
                                <w:rFonts w:ascii="Times New Roman" w:hAnsi="Times New Roman"/>
                                <w:b w:val="0"/>
                              </w:rPr>
                            </w:pPr>
                            <w:r w:rsidRPr="00C55D16">
                              <w:rPr>
                                <w:rFonts w:ascii="Times New Roman" w:hAnsi="Times New Roman"/>
                                <w:b w:val="0"/>
                              </w:rPr>
                              <w:t>SS block frequency position SS</w:t>
                            </w:r>
                            <w:r w:rsidRPr="00C55D16">
                              <w:rPr>
                                <w:rFonts w:ascii="Times New Roman" w:hAnsi="Times New Roman"/>
                                <w:b w:val="0"/>
                                <w:vertAlign w:val="subscript"/>
                              </w:rPr>
                              <w:t>REF</w:t>
                            </w:r>
                          </w:p>
                        </w:tc>
                        <w:tc>
                          <w:tcPr>
                            <w:tcW w:w="1726" w:type="dxa"/>
                            <w:vAlign w:val="center"/>
                          </w:tcPr>
                          <w:p w14:paraId="3C100ADF" w14:textId="77777777" w:rsidR="007A7707" w:rsidRPr="00C55D16" w:rsidRDefault="007A7707" w:rsidP="007A7707">
                            <w:pPr>
                              <w:pStyle w:val="TAH"/>
                              <w:rPr>
                                <w:rFonts w:ascii="Times New Roman" w:hAnsi="Times New Roman"/>
                                <w:b w:val="0"/>
                              </w:rPr>
                            </w:pPr>
                            <w:r w:rsidRPr="00C55D16">
                              <w:rPr>
                                <w:rFonts w:ascii="Times New Roman" w:hAnsi="Times New Roman"/>
                                <w:b w:val="0"/>
                              </w:rPr>
                              <w:t>GSCN</w:t>
                            </w:r>
                          </w:p>
                        </w:tc>
                        <w:tc>
                          <w:tcPr>
                            <w:tcW w:w="1787" w:type="dxa"/>
                            <w:shd w:val="clear" w:color="auto" w:fill="auto"/>
                            <w:vAlign w:val="center"/>
                          </w:tcPr>
                          <w:p w14:paraId="4E7DF071" w14:textId="77777777" w:rsidR="007A7707" w:rsidRPr="00C55D16" w:rsidRDefault="007A7707" w:rsidP="007A7707">
                            <w:pPr>
                              <w:pStyle w:val="TAH"/>
                              <w:rPr>
                                <w:rFonts w:ascii="Times New Roman" w:hAnsi="Times New Roman"/>
                                <w:b w:val="0"/>
                              </w:rPr>
                            </w:pPr>
                            <w:r w:rsidRPr="00C55D16">
                              <w:rPr>
                                <w:rFonts w:ascii="Times New Roman" w:hAnsi="Times New Roman"/>
                                <w:b w:val="0"/>
                              </w:rPr>
                              <w:t>Range of GSCN</w:t>
                            </w:r>
                          </w:p>
                        </w:tc>
                      </w:tr>
                      <w:tr w:rsidR="007A7707" w:rsidRPr="00162BDB" w14:paraId="0357D986" w14:textId="77777777" w:rsidTr="00BD11E7">
                        <w:trPr>
                          <w:trHeight w:val="293"/>
                          <w:jc w:val="center"/>
                        </w:trPr>
                        <w:tc>
                          <w:tcPr>
                            <w:tcW w:w="2150" w:type="dxa"/>
                            <w:shd w:val="clear" w:color="auto" w:fill="auto"/>
                            <w:vAlign w:val="center"/>
                          </w:tcPr>
                          <w:p w14:paraId="0BF8B20C" w14:textId="77777777" w:rsidR="007A7707" w:rsidRPr="00C55D16" w:rsidRDefault="007A7707" w:rsidP="007A7707">
                            <w:pPr>
                              <w:pStyle w:val="TAC"/>
                              <w:rPr>
                                <w:rFonts w:ascii="Times New Roman" w:hAnsi="Times New Roman"/>
                              </w:rPr>
                            </w:pPr>
                            <w:r w:rsidRPr="00C55D16">
                              <w:rPr>
                                <w:rFonts w:ascii="Times New Roman" w:hAnsi="Times New Roman"/>
                                <w:lang w:eastAsia="ja-JP"/>
                              </w:rPr>
                              <w:t xml:space="preserve">0 – </w:t>
                            </w:r>
                            <w:r w:rsidRPr="00C55D16">
                              <w:rPr>
                                <w:rFonts w:ascii="Times New Roman" w:eastAsia="MS Mincho" w:hAnsi="Times New Roman"/>
                                <w:lang w:eastAsia="ja-JP"/>
                              </w:rPr>
                              <w:t>3</w:t>
                            </w:r>
                            <w:r w:rsidRPr="00C55D16">
                              <w:rPr>
                                <w:rFonts w:ascii="Times New Roman" w:hAnsi="Times New Roman"/>
                                <w:lang w:eastAsia="ja-JP"/>
                              </w:rPr>
                              <w:t>000</w:t>
                            </w:r>
                          </w:p>
                        </w:tc>
                        <w:tc>
                          <w:tcPr>
                            <w:tcW w:w="3166" w:type="dxa"/>
                            <w:shd w:val="clear" w:color="auto" w:fill="auto"/>
                            <w:vAlign w:val="center"/>
                          </w:tcPr>
                          <w:p w14:paraId="5ED327CF" w14:textId="77777777" w:rsidR="007A7707" w:rsidRPr="00C55D16" w:rsidRDefault="007A7707" w:rsidP="007A7707">
                            <w:pPr>
                              <w:pStyle w:val="TAC"/>
                              <w:rPr>
                                <w:rFonts w:ascii="Times New Roman" w:hAnsi="Times New Roman"/>
                              </w:rPr>
                            </w:pPr>
                            <w:r w:rsidRPr="00C55D16">
                              <w:rPr>
                                <w:rFonts w:ascii="Times New Roman" w:hAnsi="Times New Roman"/>
                              </w:rPr>
                              <w:t>N * 600 kHz + M * 50 kHz + 300 kHz,</w:t>
                            </w:r>
                          </w:p>
                          <w:p w14:paraId="65AB2BE7" w14:textId="77777777" w:rsidR="007A7707" w:rsidRPr="00C55D16" w:rsidRDefault="007A7707" w:rsidP="007A7707">
                            <w:pPr>
                              <w:pStyle w:val="TAC"/>
                              <w:rPr>
                                <w:rFonts w:ascii="Times New Roman" w:hAnsi="Times New Roman"/>
                              </w:rPr>
                            </w:pPr>
                            <w:r w:rsidRPr="00C55D16">
                              <w:rPr>
                                <w:rFonts w:ascii="Times New Roman" w:hAnsi="Times New Roman"/>
                              </w:rPr>
                              <w:t>N = 1:</w:t>
                            </w:r>
                            <w:r w:rsidRPr="00C55D16">
                              <w:rPr>
                                <w:rFonts w:ascii="Times New Roman" w:eastAsia="MS Mincho" w:hAnsi="Times New Roman"/>
                                <w:lang w:eastAsia="ja-JP"/>
                              </w:rPr>
                              <w:t>4999</w:t>
                            </w:r>
                            <w:r w:rsidRPr="00C55D16">
                              <w:rPr>
                                <w:rFonts w:ascii="Times New Roman" w:hAnsi="Times New Roman"/>
                              </w:rPr>
                              <w:t>, M ϵ {1,3,5} (Note 1)</w:t>
                            </w:r>
                          </w:p>
                        </w:tc>
                        <w:tc>
                          <w:tcPr>
                            <w:tcW w:w="1726" w:type="dxa"/>
                            <w:vAlign w:val="center"/>
                          </w:tcPr>
                          <w:p w14:paraId="72C038D9" w14:textId="77777777" w:rsidR="007A7707" w:rsidRPr="00C55D16" w:rsidRDefault="007A7707" w:rsidP="007A7707">
                            <w:pPr>
                              <w:pStyle w:val="TAC"/>
                              <w:rPr>
                                <w:rFonts w:ascii="Times New Roman" w:hAnsi="Times New Roman"/>
                              </w:rPr>
                            </w:pPr>
                            <w:r w:rsidRPr="00C55D16">
                              <w:rPr>
                                <w:rFonts w:ascii="Times New Roman" w:hAnsi="Times New Roman"/>
                              </w:rPr>
                              <w:t>26638+3N + (M-3)/2</w:t>
                            </w:r>
                          </w:p>
                        </w:tc>
                        <w:tc>
                          <w:tcPr>
                            <w:tcW w:w="1787" w:type="dxa"/>
                            <w:shd w:val="clear" w:color="auto" w:fill="auto"/>
                            <w:vAlign w:val="center"/>
                          </w:tcPr>
                          <w:p w14:paraId="5351C74E" w14:textId="77777777" w:rsidR="007A7707" w:rsidRPr="00C55D16" w:rsidRDefault="007A7707" w:rsidP="007A7707">
                            <w:pPr>
                              <w:pStyle w:val="TAC"/>
                              <w:rPr>
                                <w:rFonts w:ascii="Times New Roman" w:eastAsia="MS Mincho" w:hAnsi="Times New Roman"/>
                                <w:lang w:eastAsia="ja-JP"/>
                              </w:rPr>
                            </w:pPr>
                            <w:r w:rsidRPr="00C55D16">
                              <w:rPr>
                                <w:rFonts w:ascii="Times New Roman" w:hAnsi="Times New Roman"/>
                              </w:rPr>
                              <w:t xml:space="preserve">26640 – </w:t>
                            </w:r>
                            <w:r w:rsidRPr="00C55D16">
                              <w:rPr>
                                <w:rFonts w:ascii="Times New Roman" w:eastAsia="MS Mincho" w:hAnsi="Times New Roman"/>
                                <w:lang w:eastAsia="ja-JP"/>
                              </w:rPr>
                              <w:t>41636</w:t>
                            </w:r>
                          </w:p>
                        </w:tc>
                      </w:tr>
                    </w:tbl>
                    <w:p w14:paraId="5C40A984" w14:textId="77777777" w:rsidR="007A7707" w:rsidRPr="007109F7" w:rsidRDefault="007A7707" w:rsidP="007A7707">
                      <w:pPr>
                        <w:pStyle w:val="ListParagraph"/>
                        <w:overflowPunct/>
                        <w:autoSpaceDE/>
                        <w:autoSpaceDN/>
                        <w:adjustRightInd/>
                        <w:spacing w:after="120"/>
                        <w:textAlignment w:val="auto"/>
                        <w:rPr>
                          <w:rFonts w:hint="eastAsia"/>
                          <w:lang w:val="en-US" w:eastAsia="zh-CN"/>
                        </w:rPr>
                      </w:pPr>
                    </w:p>
                    <w:p w14:paraId="37B423DD" w14:textId="77777777" w:rsidR="007A7707" w:rsidRDefault="007A7707" w:rsidP="007A7707">
                      <w:pPr>
                        <w:pStyle w:val="ListParagraph"/>
                        <w:numPr>
                          <w:ilvl w:val="1"/>
                          <w:numId w:val="8"/>
                        </w:numPr>
                        <w:overflowPunct/>
                        <w:autoSpaceDE/>
                        <w:autoSpaceDN/>
                        <w:adjustRightInd/>
                        <w:spacing w:after="120"/>
                        <w:ind w:left="1440"/>
                        <w:contextualSpacing w:val="0"/>
                        <w:textAlignment w:val="auto"/>
                        <w:rPr>
                          <w:lang w:eastAsia="zh-CN"/>
                        </w:rPr>
                      </w:pPr>
                      <w:r>
                        <w:rPr>
                          <w:lang w:eastAsia="zh-CN"/>
                        </w:rPr>
                        <w:t>Include note1:</w:t>
                      </w:r>
                    </w:p>
                    <w:p w14:paraId="14D0B93E" w14:textId="77777777" w:rsidR="007A7707" w:rsidRPr="00C22D09" w:rsidRDefault="007A7707" w:rsidP="007A7707">
                      <w:pPr>
                        <w:pStyle w:val="ListParagraph"/>
                        <w:numPr>
                          <w:ilvl w:val="3"/>
                          <w:numId w:val="8"/>
                        </w:numPr>
                        <w:overflowPunct/>
                        <w:autoSpaceDE/>
                        <w:autoSpaceDN/>
                        <w:adjustRightInd/>
                        <w:spacing w:after="120"/>
                        <w:ind w:left="2058" w:hanging="357"/>
                        <w:contextualSpacing w:val="0"/>
                        <w:textAlignment w:val="auto"/>
                        <w:rPr>
                          <w:lang w:eastAsia="zh-CN"/>
                        </w:rPr>
                      </w:pPr>
                      <w:r w:rsidRPr="00C22D09">
                        <w:rPr>
                          <w:lang w:eastAsia="zh-CN"/>
                        </w:rPr>
                        <w:t>NOTE 1:</w:t>
                      </w:r>
                      <w:r w:rsidRPr="00C22D09">
                        <w:rPr>
                          <w:lang w:eastAsia="zh-CN"/>
                        </w:rPr>
                        <w:tab/>
                        <w:t xml:space="preserve">Only applicable for 15 PRB transmission </w:t>
                      </w:r>
                      <w:r>
                        <w:rPr>
                          <w:lang w:eastAsia="zh-CN"/>
                        </w:rPr>
                        <w:t xml:space="preserve">bandwidth configuration </w:t>
                      </w:r>
                      <w:r w:rsidRPr="00C22D09">
                        <w:rPr>
                          <w:lang w:eastAsia="zh-CN"/>
                        </w:rPr>
                        <w:t>within 3 MHz channel bandwidth with punctured PBCH defined in TS 38.211 [6] clause 7.4.3.1.</w:t>
                      </w:r>
                    </w:p>
                    <w:p w14:paraId="4CEA3C55" w14:textId="07FABAA4" w:rsidR="007A7707" w:rsidRDefault="007A7707"/>
                  </w:txbxContent>
                </v:textbox>
                <w10:wrap type="topAndBottom" anchorx="margin"/>
              </v:shape>
            </w:pict>
          </mc:Fallback>
        </mc:AlternateContent>
      </w:r>
      <w:r w:rsidR="00915494">
        <w:t xml:space="preserve">During RAN4#112, there was a lengthy discussion on the 12 RB support and respective sync </w:t>
      </w:r>
      <w:proofErr w:type="spellStart"/>
      <w:r w:rsidR="00915494">
        <w:t>rasters</w:t>
      </w:r>
      <w:proofErr w:type="spellEnd"/>
      <w:r>
        <w:t>, and the following agreement was reached.</w:t>
      </w:r>
    </w:p>
    <w:p w14:paraId="53B51901" w14:textId="48AFC27C" w:rsidR="007A7707" w:rsidRDefault="007A7707" w:rsidP="00F61AF1"/>
    <w:p w14:paraId="30E24CC0" w14:textId="73E6026C" w:rsidR="007A7707" w:rsidRDefault="007A7707" w:rsidP="00F61AF1">
      <w:r>
        <w:t xml:space="preserve">However, </w:t>
      </w:r>
      <w:r w:rsidR="00604740">
        <w:t>this agreement</w:t>
      </w:r>
      <w:r w:rsidR="002A629F">
        <w:t xml:space="preserve">, </w:t>
      </w:r>
      <w:proofErr w:type="gramStart"/>
      <w:r w:rsidR="002A629F">
        <w:t>in  particular</w:t>
      </w:r>
      <w:proofErr w:type="gramEnd"/>
      <w:r w:rsidR="002A629F">
        <w:t xml:space="preserve"> the text of “NOTE 1”</w:t>
      </w:r>
      <w:r w:rsidR="00604740">
        <w:t xml:space="preserve"> does not fully reflect the ongoing discussion both during online and offline sessions</w:t>
      </w:r>
      <w:r w:rsidR="002A629F">
        <w:t>, and the original intentions of this WI objective</w:t>
      </w:r>
      <w:r w:rsidR="00604740">
        <w:t xml:space="preserve">, where </w:t>
      </w:r>
      <w:r w:rsidR="006069DF">
        <w:t>NTN operators clearly expressed the need</w:t>
      </w:r>
      <w:r w:rsidR="00FE244F">
        <w:t xml:space="preserve"> and priority</w:t>
      </w:r>
      <w:r w:rsidR="006069DF">
        <w:t xml:space="preserve"> to support 12 PRB configuration.</w:t>
      </w:r>
      <w:r w:rsidR="00FE244F">
        <w:t xml:space="preserve">  We thereby propose that the note should be revisited, or at least clarified.</w:t>
      </w:r>
    </w:p>
    <w:p w14:paraId="0211A75B" w14:textId="77777777" w:rsidR="00915494" w:rsidRPr="00F61AF1" w:rsidRDefault="00915494" w:rsidP="00F61AF1"/>
    <w:p w14:paraId="405EE0E1" w14:textId="2AA54685" w:rsidR="000611C6" w:rsidRPr="00721AC4" w:rsidRDefault="00721AC4" w:rsidP="000611C6">
      <w:pPr>
        <w:pStyle w:val="Heading1"/>
        <w:numPr>
          <w:ilvl w:val="0"/>
          <w:numId w:val="1"/>
        </w:numPr>
        <w:tabs>
          <w:tab w:val="num" w:pos="360"/>
        </w:tabs>
        <w:spacing w:before="0" w:after="240"/>
        <w:ind w:left="1134" w:hanging="1134"/>
        <w:jc w:val="both"/>
      </w:pPr>
      <w:r w:rsidRPr="00721AC4">
        <w:t>Discussion</w:t>
      </w:r>
    </w:p>
    <w:p w14:paraId="3F62A221" w14:textId="6AE9F8F9" w:rsidR="008521BF" w:rsidRDefault="005118AE" w:rsidP="008521BF">
      <w:pPr>
        <w:rPr>
          <w:lang w:val="en-US"/>
        </w:rPr>
      </w:pPr>
      <w:r>
        <w:rPr>
          <w:lang w:val="en-US"/>
        </w:rPr>
        <w:t xml:space="preserve">The </w:t>
      </w:r>
      <w:r w:rsidR="00E86EDD">
        <w:rPr>
          <w:lang w:val="en-US"/>
        </w:rPr>
        <w:t>rationale for support of NR NTN Less than 5 MHz was extensively discussed in several RAN Plenary meetings and ultimately a</w:t>
      </w:r>
      <w:r w:rsidR="00D93AAF">
        <w:rPr>
          <w:lang w:val="en-US"/>
        </w:rPr>
        <w:t>pproved</w:t>
      </w:r>
      <w:r w:rsidR="00E86EDD">
        <w:rPr>
          <w:lang w:val="en-US"/>
        </w:rPr>
        <w:t xml:space="preserve"> at RAN#10</w:t>
      </w:r>
      <w:r w:rsidR="00D93AAF">
        <w:rPr>
          <w:lang w:val="en-US"/>
        </w:rPr>
        <w:t>3</w:t>
      </w:r>
      <w:r w:rsidR="00F7245A">
        <w:rPr>
          <w:lang w:val="en-US"/>
        </w:rPr>
        <w:t>, with the following rationale</w:t>
      </w:r>
      <w:r w:rsidR="009305CA">
        <w:rPr>
          <w:lang w:val="en-US"/>
        </w:rPr>
        <w:t xml:space="preserve"> [1]</w:t>
      </w:r>
      <w:r w:rsidR="00F7245A">
        <w:rPr>
          <w:lang w:val="en-US"/>
        </w:rPr>
        <w:t>:</w:t>
      </w:r>
      <w:r w:rsidR="00F7245A" w:rsidRPr="00F7245A">
        <w:rPr>
          <w:noProof/>
          <w:lang w:val="en-US"/>
        </w:rPr>
        <mc:AlternateContent>
          <mc:Choice Requires="wps">
            <w:drawing>
              <wp:anchor distT="45720" distB="45720" distL="114300" distR="114300" simplePos="0" relativeHeight="251661312" behindDoc="0" locked="0" layoutInCell="1" allowOverlap="1" wp14:anchorId="1B647BB3" wp14:editId="7FF77D0B">
                <wp:simplePos x="0" y="0"/>
                <wp:positionH relativeFrom="margin">
                  <wp:align>left</wp:align>
                </wp:positionH>
                <wp:positionV relativeFrom="paragraph">
                  <wp:posOffset>441960</wp:posOffset>
                </wp:positionV>
                <wp:extent cx="6239510" cy="1404620"/>
                <wp:effectExtent l="0" t="0" r="27940" b="26670"/>
                <wp:wrapTopAndBottom/>
                <wp:docPr id="13509786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865" cy="1404620"/>
                        </a:xfrm>
                        <a:prstGeom prst="rect">
                          <a:avLst/>
                        </a:prstGeom>
                        <a:solidFill>
                          <a:srgbClr val="FFFFFF"/>
                        </a:solidFill>
                        <a:ln w="9525">
                          <a:solidFill>
                            <a:srgbClr val="000000"/>
                          </a:solidFill>
                          <a:miter lim="800000"/>
                          <a:headEnd/>
                          <a:tailEnd/>
                        </a:ln>
                      </wps:spPr>
                      <wps:txbx>
                        <w:txbxContent>
                          <w:p w14:paraId="1A848C1D" w14:textId="10C401F7" w:rsidR="00F7245A" w:rsidRPr="000E7349" w:rsidRDefault="00F7245A" w:rsidP="00F7245A">
                            <w:pPr>
                              <w:rPr>
                                <w:b/>
                              </w:rPr>
                            </w:pPr>
                            <w:r>
                              <w:rPr>
                                <w:b/>
                              </w:rPr>
                              <w:t>Less than 5MHz for NTN</w:t>
                            </w:r>
                          </w:p>
                          <w:p w14:paraId="6A0002C2" w14:textId="77777777" w:rsidR="00F7245A" w:rsidRDefault="00F7245A" w:rsidP="00F7245A">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92ECC1F" w14:textId="5E93BCC9" w:rsidR="00F7245A" w:rsidRPr="00F7245A" w:rsidRDefault="00F7245A">
                            <w:pPr>
                              <w:rPr>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647BB3" id="_x0000_s1027" type="#_x0000_t202" style="position:absolute;margin-left:0;margin-top:34.8pt;width:491.3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rjN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">
                <v:textbox style="mso-fit-shape-to-text:t">
                  <w:txbxContent>
                    <w:p w14:paraId="1A848C1D" w14:textId="10C401F7" w:rsidR="00F7245A" w:rsidRPr="000E7349" w:rsidRDefault="00F7245A" w:rsidP="00F7245A">
                      <w:pPr>
                        <w:rPr>
                          <w:b/>
                        </w:rPr>
                      </w:pPr>
                      <w:r>
                        <w:rPr>
                          <w:b/>
                        </w:rPr>
                        <w:t>Less than 5MHz for NTN</w:t>
                      </w:r>
                    </w:p>
                    <w:p w14:paraId="6A0002C2" w14:textId="77777777" w:rsidR="00F7245A" w:rsidRDefault="00F7245A" w:rsidP="00F7245A">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92ECC1F" w14:textId="5E93BCC9" w:rsidR="00F7245A" w:rsidRPr="00F7245A" w:rsidRDefault="00F7245A">
                      <w:pPr>
                        <w:rPr>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txbxContent>
                </v:textbox>
                <w10:wrap type="topAndBottom" anchorx="margin"/>
              </v:shape>
            </w:pict>
          </mc:Fallback>
        </mc:AlternateContent>
      </w:r>
    </w:p>
    <w:p w14:paraId="5AA67636" w14:textId="24FA0E23" w:rsidR="00F7245A" w:rsidRDefault="00D437C1" w:rsidP="008521BF">
      <w:pPr>
        <w:rPr>
          <w:lang w:val="en-US"/>
        </w:rPr>
      </w:pPr>
      <w:r>
        <w:rPr>
          <w:lang w:val="en-US"/>
        </w:rPr>
        <w:lastRenderedPageBreak/>
        <w:t>Furthermore, this is a snippet of the NTN operators’ contribution at RAN4#10</w:t>
      </w:r>
      <w:r w:rsidR="005443E9">
        <w:rPr>
          <w:lang w:val="en-US"/>
        </w:rPr>
        <w:t>3 [2], capturing the rationale and key target objectives for this work:</w:t>
      </w:r>
    </w:p>
    <w:p w14:paraId="7997AF49" w14:textId="32B0313F" w:rsidR="005443E9" w:rsidRPr="008521BF" w:rsidRDefault="005443E9" w:rsidP="008521BF">
      <w:pPr>
        <w:rPr>
          <w:lang w:val="en-US"/>
        </w:rPr>
      </w:pPr>
      <w:r>
        <w:rPr>
          <w:noProof/>
        </w:rPr>
        <w:drawing>
          <wp:inline distT="0" distB="0" distL="0" distR="0" wp14:anchorId="2C5E1747" wp14:editId="62FDB5AF">
            <wp:extent cx="6120765" cy="3442970"/>
            <wp:effectExtent l="0" t="0" r="0" b="5080"/>
            <wp:docPr id="16008377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3775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442970"/>
                    </a:xfrm>
                    <a:prstGeom prst="rect">
                      <a:avLst/>
                    </a:prstGeom>
                  </pic:spPr>
                </pic:pic>
              </a:graphicData>
            </a:graphic>
          </wp:inline>
        </w:drawing>
      </w:r>
    </w:p>
    <w:p w14:paraId="1F55EF3C" w14:textId="77777777" w:rsidR="0078107E" w:rsidRDefault="0078107E" w:rsidP="00CE0A36">
      <w:pPr>
        <w:rPr>
          <w:lang w:val="en-US"/>
        </w:rPr>
      </w:pPr>
    </w:p>
    <w:p w14:paraId="43C3865D" w14:textId="75BAB550" w:rsidR="00640BA4" w:rsidRPr="00640BA4" w:rsidRDefault="00D104E4" w:rsidP="00640BA4">
      <w:r>
        <w:t xml:space="preserve">A few important things </w:t>
      </w:r>
      <w:proofErr w:type="gramStart"/>
      <w:r>
        <w:t>have to</w:t>
      </w:r>
      <w:proofErr w:type="gramEnd"/>
      <w:r>
        <w:t xml:space="preserve"> be noted, </w:t>
      </w:r>
      <w:r w:rsidR="006D1559">
        <w:t>further from the</w:t>
      </w:r>
      <w:r>
        <w:t xml:space="preserve"> above:</w:t>
      </w:r>
    </w:p>
    <w:p w14:paraId="2CA0EDAE" w14:textId="6F8A69E6" w:rsidR="00405A77" w:rsidRDefault="00640BA4" w:rsidP="00405A77">
      <w:pPr>
        <w:numPr>
          <w:ilvl w:val="0"/>
          <w:numId w:val="9"/>
        </w:numPr>
      </w:pPr>
      <w:r w:rsidRPr="00640BA4">
        <w:t>Initial NR NTN deployments will have to coexist with existing non-3GPP satellite services</w:t>
      </w:r>
      <w:r w:rsidR="006D1559">
        <w:t xml:space="preserve"> for a certain </w:t>
      </w:r>
      <w:proofErr w:type="gramStart"/>
      <w:r w:rsidR="006D1559">
        <w:t>period of time</w:t>
      </w:r>
      <w:proofErr w:type="gramEnd"/>
      <w:r w:rsidR="00405A77">
        <w:t>.</w:t>
      </w:r>
    </w:p>
    <w:p w14:paraId="0835A9D9" w14:textId="486213ED" w:rsidR="00640BA4" w:rsidRDefault="00405A77" w:rsidP="00D240C9">
      <w:pPr>
        <w:numPr>
          <w:ilvl w:val="0"/>
          <w:numId w:val="9"/>
        </w:numPr>
      </w:pPr>
      <w:r>
        <w:t xml:space="preserve">In certain geographical areas, there might </w:t>
      </w:r>
      <w:r w:rsidR="005757A4">
        <w:t xml:space="preserve">be other constraints which limit the amount of </w:t>
      </w:r>
      <w:r w:rsidR="00D240C9">
        <w:t xml:space="preserve">contiguous </w:t>
      </w:r>
      <w:r w:rsidR="005757A4">
        <w:t>spectrum initially available</w:t>
      </w:r>
      <w:r w:rsidR="00B8322A">
        <w:t xml:space="preserve">.  </w:t>
      </w:r>
    </w:p>
    <w:p w14:paraId="6F2E0C98" w14:textId="00D74868" w:rsidR="00D240C9" w:rsidRDefault="00B8322A" w:rsidP="00822C2A">
      <w:pPr>
        <w:numPr>
          <w:ilvl w:val="0"/>
          <w:numId w:val="9"/>
        </w:numPr>
      </w:pPr>
      <w:r>
        <w:t xml:space="preserve">In some cases, and specific geographic coverage areas, whilst the spectrum may be available, it may be interrupted by legacy services or other allocations that cannot be immediately </w:t>
      </w:r>
      <w:proofErr w:type="spellStart"/>
      <w:r>
        <w:t>refarmed</w:t>
      </w:r>
      <w:proofErr w:type="spellEnd"/>
      <w:r>
        <w:t>, and thus may not be sufficiently large to</w:t>
      </w:r>
      <w:r w:rsidR="00822C2A">
        <w:t xml:space="preserve"> support a contiguous 5 MHz channel, or even</w:t>
      </w:r>
      <w:r>
        <w:t xml:space="preserve"> schedule the main 5G NR DL control signals, such as SSB and CORESET#0</w:t>
      </w:r>
      <w:r w:rsidR="00822C2A">
        <w:t>.</w:t>
      </w:r>
    </w:p>
    <w:p w14:paraId="24DF1671" w14:textId="77777777" w:rsidR="00822C2A" w:rsidRDefault="00D240C9" w:rsidP="00D240C9">
      <w:pPr>
        <w:numPr>
          <w:ilvl w:val="0"/>
          <w:numId w:val="9"/>
        </w:numPr>
      </w:pPr>
      <w:r>
        <w:t>In such scenarios, channel BW of 5 MHz</w:t>
      </w:r>
      <w:r w:rsidR="00822C2A">
        <w:t xml:space="preserve"> with full 20 PRB SSB</w:t>
      </w:r>
      <w:r>
        <w:t xml:space="preserve"> might not be possible, </w:t>
      </w:r>
      <w:r w:rsidR="00822C2A">
        <w:t xml:space="preserve">and instead a smaller allocation may be required, </w:t>
      </w:r>
      <w:proofErr w:type="gramStart"/>
      <w:r w:rsidR="00822C2A">
        <w:t>in order to</w:t>
      </w:r>
      <w:proofErr w:type="gramEnd"/>
      <w:r w:rsidR="00822C2A">
        <w:t xml:space="preserve"> deploy an NR NTN cell, also accounting for possible Doppler shift</w:t>
      </w:r>
    </w:p>
    <w:p w14:paraId="310F174F" w14:textId="77777777" w:rsidR="000F612E" w:rsidRDefault="000F612E" w:rsidP="00D240C9">
      <w:pPr>
        <w:numPr>
          <w:ilvl w:val="0"/>
          <w:numId w:val="9"/>
        </w:numPr>
      </w:pPr>
      <w:r>
        <w:t xml:space="preserve">12 PRB SSB/CORESET#0 would provide a significant improvement by reducing the minimum spectrum occupancy requirements enough to be able to deploy a 5G NR NTN cell. </w:t>
      </w:r>
    </w:p>
    <w:p w14:paraId="5667B76B" w14:textId="63E13F1B" w:rsidR="00640BA4" w:rsidRPr="00640BA4" w:rsidRDefault="000F612E" w:rsidP="000F612E">
      <w:pPr>
        <w:numPr>
          <w:ilvl w:val="1"/>
          <w:numId w:val="9"/>
        </w:numPr>
      </w:pPr>
      <w:r>
        <w:t xml:space="preserve">Additional spectrum chunks could then be handled </w:t>
      </w:r>
      <w:r w:rsidR="002450AC">
        <w:t>by allocating them together with the 12 PRB SSB/CORESET in a non-contiguous manner</w:t>
      </w:r>
      <w:r w:rsidR="00D240C9">
        <w:t xml:space="preserve"> </w:t>
      </w:r>
    </w:p>
    <w:p w14:paraId="57ADEF56" w14:textId="20E88C3B" w:rsidR="00640BA4" w:rsidRPr="00640BA4" w:rsidRDefault="00D104E4" w:rsidP="001C5876">
      <w:pPr>
        <w:numPr>
          <w:ilvl w:val="0"/>
          <w:numId w:val="9"/>
        </w:numPr>
      </w:pPr>
      <w:r>
        <w:t>Satellites</w:t>
      </w:r>
      <w:r w:rsidR="00640BA4" w:rsidRPr="00640BA4">
        <w:t xml:space="preserve"> </w:t>
      </w:r>
      <w:r w:rsidR="006D1559">
        <w:t xml:space="preserve">are indeed power limited, </w:t>
      </w:r>
      <w:r w:rsidR="00640BA4" w:rsidRPr="00640BA4">
        <w:t>largely EIRP-limited</w:t>
      </w:r>
      <w:r w:rsidR="006D1559">
        <w:t xml:space="preserve">, however, </w:t>
      </w:r>
      <w:r w:rsidR="00926A4C">
        <w:t>a smaller transmission BW can improve the power spectral density (PSD), for a given EIR</w:t>
      </w:r>
      <w:r w:rsidR="00FE244F">
        <w:t>P</w:t>
      </w:r>
    </w:p>
    <w:p w14:paraId="67B63D5F" w14:textId="77777777" w:rsidR="00213EBD" w:rsidRDefault="00213EBD" w:rsidP="00213EBD"/>
    <w:p w14:paraId="44E3A07E" w14:textId="77777777" w:rsidR="00213EBD" w:rsidRDefault="00213EBD" w:rsidP="00213EBD">
      <w:pPr>
        <w:rPr>
          <w:b/>
          <w:bCs/>
        </w:rPr>
      </w:pPr>
      <w:r>
        <w:rPr>
          <w:b/>
          <w:bCs/>
        </w:rPr>
        <w:t>Observation 1: Reduction of the minimum BW would help deploying NR NTN services in specific geographic areas where there are existing legacy services or other services interrupting the spectrum allocation, such that 5 MHz of contiguous BW might not be immediately available</w:t>
      </w:r>
    </w:p>
    <w:p w14:paraId="1061DD20" w14:textId="31EB1C1A" w:rsidR="002A629F" w:rsidRDefault="00FE244F" w:rsidP="002A629F">
      <w:r>
        <w:t xml:space="preserve">It is understood that the PBCH puncturing can lead to a link budget loss for PBCH.  However, the </w:t>
      </w:r>
      <w:r w:rsidR="001411DD">
        <w:t>reduction in BW allows to achieve a higher PSD for the same EIRP, or alternatively increase the EIRP, which in turn would allow to compensate for the link budget loss.</w:t>
      </w:r>
    </w:p>
    <w:p w14:paraId="14C0CD39" w14:textId="69E8B739" w:rsidR="001411DD" w:rsidRPr="00FE244F" w:rsidRDefault="001411DD" w:rsidP="002A629F">
      <w:r>
        <w:lastRenderedPageBreak/>
        <w:t>In addition, for the scenarios that are spectrum limited, the satellite DL EIRP is not the limiting factor, allowing thus to deploy sufficient power boosting to fully recover (and exceed) the link budget losses from puncturing.</w:t>
      </w:r>
    </w:p>
    <w:p w14:paraId="156CC914" w14:textId="77777777" w:rsidR="002A629F" w:rsidRDefault="002A629F" w:rsidP="002A629F">
      <w:pPr>
        <w:rPr>
          <w:b/>
          <w:bCs/>
        </w:rPr>
      </w:pPr>
      <w:r>
        <w:rPr>
          <w:b/>
          <w:bCs/>
        </w:rPr>
        <w:t>Observation 2: For a given satellite DL EIRP, the reduced BW and resulting increase in the Power Spectral Density (PSD) would be sufficient to compensate for the DL link budget loss due to PBCH puncturing.</w:t>
      </w:r>
    </w:p>
    <w:p w14:paraId="096ABD71" w14:textId="77777777" w:rsidR="002A629F" w:rsidRDefault="002A629F" w:rsidP="002A629F">
      <w:pPr>
        <w:rPr>
          <w:b/>
          <w:bCs/>
        </w:rPr>
      </w:pPr>
      <w:r>
        <w:rPr>
          <w:b/>
          <w:bCs/>
        </w:rPr>
        <w:t>Observation 3: The NR NTN scenario is different compared to the specific rail scenario supported by bands such as n100, therefore the same constraints do not apply.</w:t>
      </w:r>
    </w:p>
    <w:p w14:paraId="2A761DCC" w14:textId="77777777" w:rsidR="002A629F" w:rsidRDefault="002A629F" w:rsidP="00213EBD">
      <w:pPr>
        <w:rPr>
          <w:b/>
          <w:bCs/>
        </w:rPr>
      </w:pPr>
    </w:p>
    <w:p w14:paraId="7AAC73CE" w14:textId="77777777" w:rsidR="00213EBD" w:rsidRDefault="00213EBD" w:rsidP="00213EBD"/>
    <w:p w14:paraId="55E7F9E7" w14:textId="77777777" w:rsidR="002A629F" w:rsidRDefault="001C5876" w:rsidP="002A629F">
      <w:pPr>
        <w:keepNext/>
        <w:jc w:val="center"/>
      </w:pPr>
      <w:r>
        <w:rPr>
          <w:noProof/>
        </w:rPr>
        <w:drawing>
          <wp:inline distT="0" distB="0" distL="0" distR="0" wp14:anchorId="4F64AAFA" wp14:editId="1D8A3D0C">
            <wp:extent cx="3322320" cy="3627120"/>
            <wp:effectExtent l="0" t="0" r="0" b="0"/>
            <wp:docPr id="200857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2320" cy="3627120"/>
                    </a:xfrm>
                    <a:prstGeom prst="rect">
                      <a:avLst/>
                    </a:prstGeom>
                    <a:noFill/>
                  </pic:spPr>
                </pic:pic>
              </a:graphicData>
            </a:graphic>
          </wp:inline>
        </w:drawing>
      </w:r>
    </w:p>
    <w:p w14:paraId="0F0B7FF2" w14:textId="4B3D9095" w:rsidR="00640BA4" w:rsidRDefault="002A629F" w:rsidP="002A629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Targeted configurations for less than 5 MHz with 12 RB SSB within larger channel BW and 3 MHz channel BW</w:t>
      </w:r>
    </w:p>
    <w:p w14:paraId="713D0FC6" w14:textId="60C2E9B8" w:rsidR="002A629F" w:rsidRPr="002A629F" w:rsidRDefault="002A629F" w:rsidP="002A629F">
      <w:r>
        <w:t xml:space="preserve">For the reasons discussed above, we want to reiterate that the support </w:t>
      </w:r>
      <w:proofErr w:type="gramStart"/>
      <w:r>
        <w:t>of  12</w:t>
      </w:r>
      <w:proofErr w:type="gramEnd"/>
      <w:r>
        <w:t xml:space="preserve"> PRB configurations is the primary target of this WI objective, and should be supported, both for 3 MHz channel BW, as well as within a larger channel BW configuration.</w:t>
      </w:r>
    </w:p>
    <w:p w14:paraId="066A5A45" w14:textId="02A43976" w:rsidR="002A629F" w:rsidRDefault="002A629F" w:rsidP="002A629F">
      <w:pPr>
        <w:rPr>
          <w:b/>
          <w:bCs/>
        </w:rPr>
      </w:pPr>
      <w:r>
        <w:rPr>
          <w:b/>
          <w:bCs/>
        </w:rPr>
        <w:t xml:space="preserve">Proposal 1: Clarify that 12 PRB configuration of SSB/CORESET and data is supported with the default 3 MHz channel BW and GSCN </w:t>
      </w:r>
    </w:p>
    <w:p w14:paraId="3915BB92" w14:textId="77777777" w:rsidR="002A629F" w:rsidRDefault="002A629F" w:rsidP="002A629F">
      <w:pPr>
        <w:rPr>
          <w:b/>
          <w:bCs/>
        </w:rPr>
      </w:pPr>
      <w:r>
        <w:rPr>
          <w:b/>
          <w:bCs/>
        </w:rPr>
        <w:t xml:space="preserve">Proposal 2: Clarify that 12 PRB configuration of SSB/CORESET and data can be used at least with the standard larger-than 3 MHz GSCN within larger nominal channel BW (i.e. 5 MHz and above) </w:t>
      </w:r>
    </w:p>
    <w:p w14:paraId="13C3813F" w14:textId="77777777" w:rsidR="00BA08E9" w:rsidRDefault="00BA08E9" w:rsidP="001A147F">
      <w:pPr>
        <w:rPr>
          <w:b/>
          <w:bCs/>
        </w:rPr>
      </w:pPr>
    </w:p>
    <w:p w14:paraId="7D0CF917" w14:textId="64FEAEB1" w:rsidR="00995C21" w:rsidRDefault="001411DD" w:rsidP="00995C21">
      <w:r>
        <w:t>Lastly,</w:t>
      </w:r>
      <w:r w:rsidR="00995C21">
        <w:t xml:space="preserve"> we can also note that a r</w:t>
      </w:r>
      <w:r w:rsidR="00640BA4" w:rsidRPr="00640BA4">
        <w:t>eduction of the minimum BW required can facilitate with</w:t>
      </w:r>
      <w:r w:rsidR="00995C21">
        <w:t xml:space="preserve"> e</w:t>
      </w:r>
      <w:r w:rsidR="00640BA4" w:rsidRPr="00640BA4">
        <w:t xml:space="preserve">asier frequency resource management and </w:t>
      </w:r>
      <w:r w:rsidR="00995C21">
        <w:t>spectrum reuse, by allowing a given frequency carrier to be partitioned in smaller chunks, also including the common control channels (e.g. FRF3 with 3 MHz CHBW only requires 9 MHz, vs 15 MHz with 5 MHz CHBW)</w:t>
      </w:r>
      <w:r>
        <w:t xml:space="preserve">. Even further, if the 12 PRB carriers are allowed to partially overlap and deploy in a contiguous fashion, it is possible to achieve </w:t>
      </w:r>
      <w:r w:rsidR="00821D98">
        <w:t xml:space="preserve">higher FRF, and thus higher C/I, within smaller spectrum allocations, greatly improving power and spectrum </w:t>
      </w:r>
      <w:proofErr w:type="spellStart"/>
      <w:r w:rsidR="00821D98">
        <w:t>usagae</w:t>
      </w:r>
      <w:proofErr w:type="spellEnd"/>
      <w:r w:rsidR="00821D98">
        <w:t xml:space="preserve"> efficiency.</w:t>
      </w:r>
    </w:p>
    <w:p w14:paraId="7EA329EE" w14:textId="34B3B381" w:rsidR="00821D98" w:rsidRPr="00821D98" w:rsidRDefault="00821D98" w:rsidP="00995C21">
      <w:pPr>
        <w:rPr>
          <w:b/>
          <w:bCs/>
        </w:rPr>
      </w:pPr>
      <w:r>
        <w:rPr>
          <w:b/>
          <w:bCs/>
        </w:rPr>
        <w:t>Observation 4: Contiguous deployment of multiple 12 PRB carriers can allow support of FRF=4 in adjacent beams with a significantly smaller spectrum allocation.</w:t>
      </w:r>
    </w:p>
    <w:p w14:paraId="0637F940" w14:textId="77777777" w:rsidR="002A629F" w:rsidRDefault="002A629F" w:rsidP="002A629F">
      <w:pPr>
        <w:keepNext/>
        <w:jc w:val="center"/>
      </w:pPr>
      <w:r>
        <w:rPr>
          <w:b/>
          <w:bCs/>
          <w:noProof/>
        </w:rPr>
        <w:lastRenderedPageBreak/>
        <w:drawing>
          <wp:inline distT="0" distB="0" distL="0" distR="0" wp14:anchorId="6C90390C" wp14:editId="73E981A2">
            <wp:extent cx="3103245" cy="3846830"/>
            <wp:effectExtent l="0" t="0" r="1905" b="1270"/>
            <wp:docPr id="8343507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3245" cy="3846830"/>
                    </a:xfrm>
                    <a:prstGeom prst="rect">
                      <a:avLst/>
                    </a:prstGeom>
                    <a:noFill/>
                  </pic:spPr>
                </pic:pic>
              </a:graphicData>
            </a:graphic>
          </wp:inline>
        </w:drawing>
      </w:r>
    </w:p>
    <w:p w14:paraId="62DF9CB3" w14:textId="424A3233" w:rsidR="002A629F" w:rsidRDefault="002A629F" w:rsidP="002A629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Possible advantage of 4x 12 PRB contiguous configurations for NR NTN, allowing FRF=4 in less than 10 MHz of spectrum</w:t>
      </w:r>
    </w:p>
    <w:p w14:paraId="5768C55E" w14:textId="77777777" w:rsidR="00BA08E9" w:rsidRPr="002B48F0" w:rsidRDefault="00BA08E9" w:rsidP="001A147F">
      <w:pPr>
        <w:rPr>
          <w:b/>
          <w:bCs/>
        </w:rPr>
      </w:pPr>
    </w:p>
    <w:p w14:paraId="3F4F0DC0" w14:textId="5A8A73FB" w:rsidR="00640BA4" w:rsidRPr="001A147F" w:rsidRDefault="001A147F" w:rsidP="001C5876">
      <w:pPr>
        <w:rPr>
          <w:b/>
          <w:bCs/>
        </w:rPr>
      </w:pPr>
      <w:r>
        <w:rPr>
          <w:b/>
          <w:bCs/>
        </w:rPr>
        <w:t xml:space="preserve">Proposal 3: Consider </w:t>
      </w:r>
      <w:r w:rsidR="00236221">
        <w:rPr>
          <w:b/>
          <w:bCs/>
        </w:rPr>
        <w:t xml:space="preserve">if the case where multiple contiguous 12 PRB </w:t>
      </w:r>
      <w:r w:rsidR="000B165A">
        <w:rPr>
          <w:b/>
          <w:bCs/>
        </w:rPr>
        <w:t xml:space="preserve">cells </w:t>
      </w:r>
      <w:r w:rsidR="00236221">
        <w:rPr>
          <w:b/>
          <w:bCs/>
        </w:rPr>
        <w:t>can be supported</w:t>
      </w:r>
      <w:r w:rsidR="00821D98">
        <w:rPr>
          <w:b/>
          <w:bCs/>
        </w:rPr>
        <w:t xml:space="preserve"> by suitable GSCN offsets.</w:t>
      </w:r>
    </w:p>
    <w:p w14:paraId="17AB90E3" w14:textId="4E07580C" w:rsidR="00640BA4" w:rsidRPr="00CE0A36" w:rsidRDefault="00640BA4" w:rsidP="00CE0A36">
      <w:pPr>
        <w:rPr>
          <w:lang w:val="en-US"/>
        </w:rPr>
      </w:pPr>
    </w:p>
    <w:p w14:paraId="69A27753" w14:textId="17C7E23C" w:rsidR="00FB5B05" w:rsidRDefault="00FB5B05" w:rsidP="009B6FB5">
      <w:pPr>
        <w:pStyle w:val="Heading1"/>
        <w:numPr>
          <w:ilvl w:val="0"/>
          <w:numId w:val="1"/>
        </w:numPr>
      </w:pPr>
      <w:r>
        <w:t>Conclusions</w:t>
      </w:r>
    </w:p>
    <w:p w14:paraId="7E4BA605" w14:textId="4402C637" w:rsidR="00490283" w:rsidRDefault="00CA70F0" w:rsidP="00721AC4">
      <w:pPr>
        <w:rPr>
          <w:b/>
          <w:bCs/>
        </w:rPr>
      </w:pPr>
      <w:r>
        <w:rPr>
          <w:b/>
          <w:bCs/>
        </w:rPr>
        <w:t xml:space="preserve">Observation 1: </w:t>
      </w:r>
      <w:r w:rsidR="00607293">
        <w:rPr>
          <w:b/>
          <w:bCs/>
        </w:rPr>
        <w:t>Reduction of the minimum BW would help deploying NR NTN services in specific geographic areas where there are existing legacy services or other services interrupting the</w:t>
      </w:r>
      <w:r w:rsidR="00490283">
        <w:rPr>
          <w:b/>
          <w:bCs/>
        </w:rPr>
        <w:t xml:space="preserve"> spectrum allocation, such that 5 MHz of contiguous BW might not be immediately available</w:t>
      </w:r>
    </w:p>
    <w:p w14:paraId="58EE169E" w14:textId="78BDB723" w:rsidR="00CA70F0" w:rsidRDefault="00490283" w:rsidP="00721AC4">
      <w:pPr>
        <w:rPr>
          <w:b/>
          <w:bCs/>
        </w:rPr>
      </w:pPr>
      <w:r>
        <w:rPr>
          <w:b/>
          <w:bCs/>
        </w:rPr>
        <w:t>Observation 2:</w:t>
      </w:r>
      <w:r w:rsidR="00607293">
        <w:rPr>
          <w:b/>
          <w:bCs/>
        </w:rPr>
        <w:t xml:space="preserve"> </w:t>
      </w:r>
      <w:r>
        <w:rPr>
          <w:b/>
          <w:bCs/>
        </w:rPr>
        <w:t>For a given satellite DL EIRP, the reduced BW and resulting increase in the Power Spectral Density (PSD) would be sufficient to compensate for the DL link budget loss due to PBCH puncturing.</w:t>
      </w:r>
    </w:p>
    <w:p w14:paraId="5E9285C4" w14:textId="4E13720A" w:rsidR="009F38B7" w:rsidRDefault="009F38B7" w:rsidP="00721AC4">
      <w:pPr>
        <w:rPr>
          <w:b/>
          <w:bCs/>
        </w:rPr>
      </w:pPr>
      <w:r>
        <w:rPr>
          <w:b/>
          <w:bCs/>
        </w:rPr>
        <w:t xml:space="preserve">Observation 3: The NR NTN scenario is different compared to the specific rail scenario supported by bands such as n100, therefore </w:t>
      </w:r>
      <w:r w:rsidR="00752373">
        <w:rPr>
          <w:b/>
          <w:bCs/>
        </w:rPr>
        <w:t>the same constraints do not apply.</w:t>
      </w:r>
    </w:p>
    <w:p w14:paraId="7657170C" w14:textId="46C399BF" w:rsidR="00721AC4" w:rsidRDefault="002B48F0" w:rsidP="00721AC4">
      <w:pPr>
        <w:rPr>
          <w:b/>
          <w:bCs/>
        </w:rPr>
      </w:pPr>
      <w:r>
        <w:rPr>
          <w:b/>
          <w:bCs/>
        </w:rPr>
        <w:t xml:space="preserve">Proposal 1: Clarify that 12 </w:t>
      </w:r>
      <w:r w:rsidR="00BC58C5">
        <w:rPr>
          <w:b/>
          <w:bCs/>
        </w:rPr>
        <w:t>P</w:t>
      </w:r>
      <w:r>
        <w:rPr>
          <w:b/>
          <w:bCs/>
        </w:rPr>
        <w:t>RB configuration</w:t>
      </w:r>
      <w:r w:rsidR="00CB4984">
        <w:rPr>
          <w:b/>
          <w:bCs/>
        </w:rPr>
        <w:t xml:space="preserve"> of SSB</w:t>
      </w:r>
      <w:r w:rsidR="00FB6C55">
        <w:rPr>
          <w:b/>
          <w:bCs/>
        </w:rPr>
        <w:t>/CORESET and data</w:t>
      </w:r>
      <w:r w:rsidR="00CB4984">
        <w:rPr>
          <w:b/>
          <w:bCs/>
        </w:rPr>
        <w:t xml:space="preserve"> </w:t>
      </w:r>
      <w:r w:rsidR="00FB6C55">
        <w:rPr>
          <w:b/>
          <w:bCs/>
        </w:rPr>
        <w:t>is</w:t>
      </w:r>
      <w:r w:rsidR="00CB4984">
        <w:rPr>
          <w:b/>
          <w:bCs/>
        </w:rPr>
        <w:t xml:space="preserve"> supported with the </w:t>
      </w:r>
      <w:r w:rsidR="00917689">
        <w:rPr>
          <w:b/>
          <w:bCs/>
        </w:rPr>
        <w:t xml:space="preserve">default </w:t>
      </w:r>
      <w:r w:rsidR="00CB4984">
        <w:rPr>
          <w:b/>
          <w:bCs/>
        </w:rPr>
        <w:t xml:space="preserve">3 MHz </w:t>
      </w:r>
      <w:r w:rsidR="00FB6C55">
        <w:rPr>
          <w:b/>
          <w:bCs/>
        </w:rPr>
        <w:t xml:space="preserve">channel BW and </w:t>
      </w:r>
      <w:r w:rsidR="00CB4984">
        <w:rPr>
          <w:b/>
          <w:bCs/>
        </w:rPr>
        <w:t>GSCN</w:t>
      </w:r>
      <w:r w:rsidR="00FB6C55">
        <w:rPr>
          <w:b/>
          <w:bCs/>
        </w:rPr>
        <w:t xml:space="preserve"> </w:t>
      </w:r>
    </w:p>
    <w:p w14:paraId="6401B3CE" w14:textId="3C39219E" w:rsidR="00821D98" w:rsidRDefault="00917689" w:rsidP="00821D98">
      <w:pPr>
        <w:rPr>
          <w:b/>
          <w:bCs/>
        </w:rPr>
      </w:pPr>
      <w:r>
        <w:rPr>
          <w:b/>
          <w:bCs/>
        </w:rPr>
        <w:t xml:space="preserve">Proposal 2: Clarify that 12 </w:t>
      </w:r>
      <w:r w:rsidR="00BC58C5">
        <w:rPr>
          <w:b/>
          <w:bCs/>
        </w:rPr>
        <w:t>P</w:t>
      </w:r>
      <w:r>
        <w:rPr>
          <w:b/>
          <w:bCs/>
        </w:rPr>
        <w:t>RB configuration of SSB/CORESET and data can be</w:t>
      </w:r>
      <w:r w:rsidR="00BC58C5">
        <w:rPr>
          <w:b/>
          <w:bCs/>
        </w:rPr>
        <w:t xml:space="preserve"> used</w:t>
      </w:r>
      <w:r w:rsidR="0066759A">
        <w:rPr>
          <w:b/>
          <w:bCs/>
        </w:rPr>
        <w:t xml:space="preserve"> </w:t>
      </w:r>
      <w:r w:rsidR="00DC1362">
        <w:rPr>
          <w:b/>
          <w:bCs/>
        </w:rPr>
        <w:t xml:space="preserve">at least </w:t>
      </w:r>
      <w:r w:rsidR="00DC1362">
        <w:rPr>
          <w:b/>
          <w:bCs/>
        </w:rPr>
        <w:t>with the standard larger-than 3 MHz GSCN</w:t>
      </w:r>
      <w:r w:rsidR="00DC1362">
        <w:rPr>
          <w:b/>
          <w:bCs/>
        </w:rPr>
        <w:t xml:space="preserve"> </w:t>
      </w:r>
      <w:r w:rsidR="00BC58C5">
        <w:rPr>
          <w:b/>
          <w:bCs/>
        </w:rPr>
        <w:t xml:space="preserve">within </w:t>
      </w:r>
      <w:r w:rsidR="0066759A">
        <w:rPr>
          <w:b/>
          <w:bCs/>
        </w:rPr>
        <w:t>larger nominal channel BW</w:t>
      </w:r>
      <w:r w:rsidR="00DC1362">
        <w:rPr>
          <w:b/>
          <w:bCs/>
        </w:rPr>
        <w:t xml:space="preserve"> (i.e. 5 MHz and above)</w:t>
      </w:r>
      <w:r w:rsidR="00366A76">
        <w:rPr>
          <w:b/>
          <w:bCs/>
        </w:rPr>
        <w:t xml:space="preserve"> </w:t>
      </w:r>
    </w:p>
    <w:p w14:paraId="7E7508DC" w14:textId="1BD680FE" w:rsidR="00801F59" w:rsidRPr="002B48F0" w:rsidRDefault="00801F59" w:rsidP="00821D98">
      <w:pPr>
        <w:rPr>
          <w:b/>
          <w:bCs/>
        </w:rPr>
      </w:pPr>
      <w:r>
        <w:rPr>
          <w:b/>
          <w:bCs/>
        </w:rPr>
        <w:t>Observation 4: Contiguous deployment of multiple 12 PRB carriers can allow support of FRF=4 in adjacent beams with a significantly smaller spectrum allocation.</w:t>
      </w:r>
    </w:p>
    <w:p w14:paraId="305BDE8C" w14:textId="77777777" w:rsidR="00821D98" w:rsidRPr="001A147F" w:rsidRDefault="00821D98" w:rsidP="00821D98">
      <w:pPr>
        <w:rPr>
          <w:b/>
          <w:bCs/>
        </w:rPr>
      </w:pPr>
      <w:r>
        <w:rPr>
          <w:b/>
          <w:bCs/>
        </w:rPr>
        <w:t>Proposal 3: Consider if the case where multiple contiguous 12 PRB cells can be supported by suitable GSCN offsets.</w:t>
      </w:r>
    </w:p>
    <w:p w14:paraId="0151AF33" w14:textId="77777777" w:rsidR="00721AC4" w:rsidRPr="00721AC4" w:rsidRDefault="00721AC4" w:rsidP="00721AC4"/>
    <w:p w14:paraId="1540D5AB" w14:textId="7B9994B6" w:rsidR="00721AC4" w:rsidRDefault="00721AC4" w:rsidP="00721AC4">
      <w:pPr>
        <w:pStyle w:val="Heading1"/>
        <w:numPr>
          <w:ilvl w:val="0"/>
          <w:numId w:val="1"/>
        </w:numPr>
      </w:pPr>
      <w:r>
        <w:lastRenderedPageBreak/>
        <w:t>References</w:t>
      </w:r>
    </w:p>
    <w:p w14:paraId="2A94207B" w14:textId="56571E9A" w:rsidR="004E50E2" w:rsidRPr="00D01FAB" w:rsidRDefault="004E50E2" w:rsidP="00EB6659">
      <w:pPr>
        <w:rPr>
          <w:i/>
          <w:iCs/>
        </w:rPr>
      </w:pPr>
    </w:p>
    <w:p w14:paraId="363D9747" w14:textId="58DA544B" w:rsidR="005443E9" w:rsidRDefault="009305CA" w:rsidP="004669B7">
      <w:pPr>
        <w:pStyle w:val="ListParagraph"/>
        <w:numPr>
          <w:ilvl w:val="0"/>
          <w:numId w:val="11"/>
        </w:numPr>
      </w:pPr>
      <w:r w:rsidRPr="009305CA">
        <w:t>RP-241985</w:t>
      </w:r>
      <w:r>
        <w:t xml:space="preserve"> - </w:t>
      </w:r>
      <w:r w:rsidRPr="009305CA">
        <w:t>Revised WID on Enhanced requirements and conductive test methodology for NR NTN and IoT NTN</w:t>
      </w:r>
      <w:r>
        <w:t xml:space="preserve">    Samsung</w:t>
      </w:r>
    </w:p>
    <w:p w14:paraId="329FC231" w14:textId="27FD29E9" w:rsidR="00415904" w:rsidRPr="00FB5B05" w:rsidRDefault="003C58E9" w:rsidP="004669B7">
      <w:pPr>
        <w:pStyle w:val="ListParagraph"/>
        <w:numPr>
          <w:ilvl w:val="0"/>
          <w:numId w:val="11"/>
        </w:numPr>
      </w:pPr>
      <w:r w:rsidRPr="003C58E9">
        <w:t>RP-240506</w:t>
      </w:r>
      <w:r>
        <w:t xml:space="preserve"> - </w:t>
      </w:r>
      <w:r w:rsidR="005F718F" w:rsidRPr="005F718F">
        <w:t>MSS Satellite operator RAN4-led non-spectrum priorities for NTN Evolution in Release 19</w:t>
      </w:r>
      <w:r w:rsidR="005F718F">
        <w:t xml:space="preserve">   </w:t>
      </w:r>
      <w:r w:rsidR="00D93AAF">
        <w:t xml:space="preserve">  </w:t>
      </w:r>
      <w:r w:rsidR="00D93AAF" w:rsidRPr="00D93AAF">
        <w:t xml:space="preserve">Inmarsat, Viasat, </w:t>
      </w:r>
      <w:proofErr w:type="spellStart"/>
      <w:r w:rsidR="00D93AAF" w:rsidRPr="00D93AAF">
        <w:t>Omnispace</w:t>
      </w:r>
      <w:proofErr w:type="spellEnd"/>
      <w:r w:rsidR="00D93AAF" w:rsidRPr="00D93AAF">
        <w:t xml:space="preserve">, Hughes/EchoStar, </w:t>
      </w:r>
      <w:proofErr w:type="spellStart"/>
      <w:r w:rsidR="00D93AAF" w:rsidRPr="00D93AAF">
        <w:t>Terrestar</w:t>
      </w:r>
      <w:proofErr w:type="spellEnd"/>
      <w:r w:rsidR="00D93AAF" w:rsidRPr="00D93AAF">
        <w:t xml:space="preserve"> Solutions, </w:t>
      </w:r>
      <w:proofErr w:type="spellStart"/>
      <w:r w:rsidR="00D93AAF" w:rsidRPr="00D93AAF">
        <w:t>Ligado</w:t>
      </w:r>
      <w:proofErr w:type="spellEnd"/>
      <w:r w:rsidR="00D93AAF" w:rsidRPr="00D93AAF">
        <w:t xml:space="preserve"> Networks</w:t>
      </w:r>
    </w:p>
    <w:p w14:paraId="389BEA97" w14:textId="77777777" w:rsidR="00C165C9" w:rsidRPr="00C165C9" w:rsidRDefault="00C165C9" w:rsidP="00C165C9"/>
    <w:p w14:paraId="75D02F8B" w14:textId="77777777" w:rsidR="00EF79E3" w:rsidRDefault="00EF79E3"/>
    <w:sectPr w:rsidR="00EF79E3">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48A83" w14:textId="77777777" w:rsidR="00B628D1" w:rsidRDefault="00B628D1">
      <w:pPr>
        <w:spacing w:after="0"/>
      </w:pPr>
      <w:r>
        <w:separator/>
      </w:r>
    </w:p>
  </w:endnote>
  <w:endnote w:type="continuationSeparator" w:id="0">
    <w:p w14:paraId="628B1556" w14:textId="77777777" w:rsidR="00B628D1" w:rsidRDefault="00B628D1">
      <w:pPr>
        <w:spacing w:after="0"/>
      </w:pPr>
      <w:r>
        <w:continuationSeparator/>
      </w:r>
    </w:p>
  </w:endnote>
  <w:endnote w:type="continuationNotice" w:id="1">
    <w:p w14:paraId="036D60C8" w14:textId="77777777" w:rsidR="00B628D1" w:rsidRDefault="00B62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27511" w14:textId="77777777" w:rsidR="00B628D1" w:rsidRDefault="00B628D1">
      <w:pPr>
        <w:spacing w:after="0"/>
      </w:pPr>
      <w:r>
        <w:separator/>
      </w:r>
    </w:p>
  </w:footnote>
  <w:footnote w:type="continuationSeparator" w:id="0">
    <w:p w14:paraId="544B063C" w14:textId="77777777" w:rsidR="00B628D1" w:rsidRDefault="00B628D1">
      <w:pPr>
        <w:spacing w:after="0"/>
      </w:pPr>
      <w:r>
        <w:continuationSeparator/>
      </w:r>
    </w:p>
  </w:footnote>
  <w:footnote w:type="continuationNotice" w:id="1">
    <w:p w14:paraId="3C095340" w14:textId="77777777" w:rsidR="00B628D1" w:rsidRDefault="00B62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64EF" w14:textId="77777777" w:rsidR="00EF79E3" w:rsidRDefault="00EF7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55517"/>
    <w:multiLevelType w:val="hybridMultilevel"/>
    <w:tmpl w:val="3A30C92C"/>
    <w:lvl w:ilvl="0" w:tplc="1454298A">
      <w:start w:val="1"/>
      <w:numFmt w:val="bullet"/>
      <w:lvlText w:val="•"/>
      <w:lvlJc w:val="left"/>
      <w:pPr>
        <w:tabs>
          <w:tab w:val="num" w:pos="720"/>
        </w:tabs>
        <w:ind w:left="720" w:hanging="360"/>
      </w:pPr>
      <w:rPr>
        <w:rFonts w:ascii="Arial" w:hAnsi="Arial" w:hint="default"/>
      </w:rPr>
    </w:lvl>
    <w:lvl w:ilvl="1" w:tplc="20B65372">
      <w:numFmt w:val="bullet"/>
      <w:lvlText w:val="•"/>
      <w:lvlJc w:val="left"/>
      <w:pPr>
        <w:tabs>
          <w:tab w:val="num" w:pos="1440"/>
        </w:tabs>
        <w:ind w:left="1440" w:hanging="360"/>
      </w:pPr>
      <w:rPr>
        <w:rFonts w:ascii="Arial" w:hAnsi="Arial" w:hint="default"/>
      </w:rPr>
    </w:lvl>
    <w:lvl w:ilvl="2" w:tplc="C136E036" w:tentative="1">
      <w:start w:val="1"/>
      <w:numFmt w:val="bullet"/>
      <w:lvlText w:val="•"/>
      <w:lvlJc w:val="left"/>
      <w:pPr>
        <w:tabs>
          <w:tab w:val="num" w:pos="2160"/>
        </w:tabs>
        <w:ind w:left="2160" w:hanging="360"/>
      </w:pPr>
      <w:rPr>
        <w:rFonts w:ascii="Arial" w:hAnsi="Arial" w:hint="default"/>
      </w:rPr>
    </w:lvl>
    <w:lvl w:ilvl="3" w:tplc="18A83EB4" w:tentative="1">
      <w:start w:val="1"/>
      <w:numFmt w:val="bullet"/>
      <w:lvlText w:val="•"/>
      <w:lvlJc w:val="left"/>
      <w:pPr>
        <w:tabs>
          <w:tab w:val="num" w:pos="2880"/>
        </w:tabs>
        <w:ind w:left="2880" w:hanging="360"/>
      </w:pPr>
      <w:rPr>
        <w:rFonts w:ascii="Arial" w:hAnsi="Arial" w:hint="default"/>
      </w:rPr>
    </w:lvl>
    <w:lvl w:ilvl="4" w:tplc="DCF2C754" w:tentative="1">
      <w:start w:val="1"/>
      <w:numFmt w:val="bullet"/>
      <w:lvlText w:val="•"/>
      <w:lvlJc w:val="left"/>
      <w:pPr>
        <w:tabs>
          <w:tab w:val="num" w:pos="3600"/>
        </w:tabs>
        <w:ind w:left="3600" w:hanging="360"/>
      </w:pPr>
      <w:rPr>
        <w:rFonts w:ascii="Arial" w:hAnsi="Arial" w:hint="default"/>
      </w:rPr>
    </w:lvl>
    <w:lvl w:ilvl="5" w:tplc="9F948B20" w:tentative="1">
      <w:start w:val="1"/>
      <w:numFmt w:val="bullet"/>
      <w:lvlText w:val="•"/>
      <w:lvlJc w:val="left"/>
      <w:pPr>
        <w:tabs>
          <w:tab w:val="num" w:pos="4320"/>
        </w:tabs>
        <w:ind w:left="4320" w:hanging="360"/>
      </w:pPr>
      <w:rPr>
        <w:rFonts w:ascii="Arial" w:hAnsi="Arial" w:hint="default"/>
      </w:rPr>
    </w:lvl>
    <w:lvl w:ilvl="6" w:tplc="D5F46AB0" w:tentative="1">
      <w:start w:val="1"/>
      <w:numFmt w:val="bullet"/>
      <w:lvlText w:val="•"/>
      <w:lvlJc w:val="left"/>
      <w:pPr>
        <w:tabs>
          <w:tab w:val="num" w:pos="5040"/>
        </w:tabs>
        <w:ind w:left="5040" w:hanging="360"/>
      </w:pPr>
      <w:rPr>
        <w:rFonts w:ascii="Arial" w:hAnsi="Arial" w:hint="default"/>
      </w:rPr>
    </w:lvl>
    <w:lvl w:ilvl="7" w:tplc="75EEB3D4" w:tentative="1">
      <w:start w:val="1"/>
      <w:numFmt w:val="bullet"/>
      <w:lvlText w:val="•"/>
      <w:lvlJc w:val="left"/>
      <w:pPr>
        <w:tabs>
          <w:tab w:val="num" w:pos="5760"/>
        </w:tabs>
        <w:ind w:left="5760" w:hanging="360"/>
      </w:pPr>
      <w:rPr>
        <w:rFonts w:ascii="Arial" w:hAnsi="Arial" w:hint="default"/>
      </w:rPr>
    </w:lvl>
    <w:lvl w:ilvl="8" w:tplc="620CDD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8F1969"/>
    <w:multiLevelType w:val="multilevel"/>
    <w:tmpl w:val="4516CC6C"/>
    <w:lvl w:ilvl="0">
      <w:start w:val="4"/>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7139C5"/>
    <w:multiLevelType w:val="hybridMultilevel"/>
    <w:tmpl w:val="56A42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2C46AA"/>
    <w:multiLevelType w:val="hybridMultilevel"/>
    <w:tmpl w:val="6978BF34"/>
    <w:lvl w:ilvl="0" w:tplc="31587DB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CB2D3F"/>
    <w:multiLevelType w:val="hybridMultilevel"/>
    <w:tmpl w:val="216476DA"/>
    <w:lvl w:ilvl="0" w:tplc="E812C21E">
      <w:start w:val="1"/>
      <w:numFmt w:val="bullet"/>
      <w:lvlText w:val="•"/>
      <w:lvlJc w:val="left"/>
      <w:pPr>
        <w:tabs>
          <w:tab w:val="num" w:pos="720"/>
        </w:tabs>
        <w:ind w:left="720" w:hanging="360"/>
      </w:pPr>
      <w:rPr>
        <w:rFonts w:ascii="Arial" w:hAnsi="Arial" w:hint="default"/>
      </w:rPr>
    </w:lvl>
    <w:lvl w:ilvl="1" w:tplc="8E909676">
      <w:numFmt w:val="bullet"/>
      <w:lvlText w:val="•"/>
      <w:lvlJc w:val="left"/>
      <w:pPr>
        <w:tabs>
          <w:tab w:val="num" w:pos="1440"/>
        </w:tabs>
        <w:ind w:left="1440" w:hanging="360"/>
      </w:pPr>
      <w:rPr>
        <w:rFonts w:ascii="Arial" w:hAnsi="Arial" w:hint="default"/>
      </w:rPr>
    </w:lvl>
    <w:lvl w:ilvl="2" w:tplc="D7BE4AA6" w:tentative="1">
      <w:start w:val="1"/>
      <w:numFmt w:val="bullet"/>
      <w:lvlText w:val="•"/>
      <w:lvlJc w:val="left"/>
      <w:pPr>
        <w:tabs>
          <w:tab w:val="num" w:pos="2160"/>
        </w:tabs>
        <w:ind w:left="2160" w:hanging="360"/>
      </w:pPr>
      <w:rPr>
        <w:rFonts w:ascii="Arial" w:hAnsi="Arial" w:hint="default"/>
      </w:rPr>
    </w:lvl>
    <w:lvl w:ilvl="3" w:tplc="2046661A" w:tentative="1">
      <w:start w:val="1"/>
      <w:numFmt w:val="bullet"/>
      <w:lvlText w:val="•"/>
      <w:lvlJc w:val="left"/>
      <w:pPr>
        <w:tabs>
          <w:tab w:val="num" w:pos="2880"/>
        </w:tabs>
        <w:ind w:left="2880" w:hanging="360"/>
      </w:pPr>
      <w:rPr>
        <w:rFonts w:ascii="Arial" w:hAnsi="Arial" w:hint="default"/>
      </w:rPr>
    </w:lvl>
    <w:lvl w:ilvl="4" w:tplc="4B601446" w:tentative="1">
      <w:start w:val="1"/>
      <w:numFmt w:val="bullet"/>
      <w:lvlText w:val="•"/>
      <w:lvlJc w:val="left"/>
      <w:pPr>
        <w:tabs>
          <w:tab w:val="num" w:pos="3600"/>
        </w:tabs>
        <w:ind w:left="3600" w:hanging="360"/>
      </w:pPr>
      <w:rPr>
        <w:rFonts w:ascii="Arial" w:hAnsi="Arial" w:hint="default"/>
      </w:rPr>
    </w:lvl>
    <w:lvl w:ilvl="5" w:tplc="19CC28CA" w:tentative="1">
      <w:start w:val="1"/>
      <w:numFmt w:val="bullet"/>
      <w:lvlText w:val="•"/>
      <w:lvlJc w:val="left"/>
      <w:pPr>
        <w:tabs>
          <w:tab w:val="num" w:pos="4320"/>
        </w:tabs>
        <w:ind w:left="4320" w:hanging="360"/>
      </w:pPr>
      <w:rPr>
        <w:rFonts w:ascii="Arial" w:hAnsi="Arial" w:hint="default"/>
      </w:rPr>
    </w:lvl>
    <w:lvl w:ilvl="6" w:tplc="129E769A" w:tentative="1">
      <w:start w:val="1"/>
      <w:numFmt w:val="bullet"/>
      <w:lvlText w:val="•"/>
      <w:lvlJc w:val="left"/>
      <w:pPr>
        <w:tabs>
          <w:tab w:val="num" w:pos="5040"/>
        </w:tabs>
        <w:ind w:left="5040" w:hanging="360"/>
      </w:pPr>
      <w:rPr>
        <w:rFonts w:ascii="Arial" w:hAnsi="Arial" w:hint="default"/>
      </w:rPr>
    </w:lvl>
    <w:lvl w:ilvl="7" w:tplc="93D610EC" w:tentative="1">
      <w:start w:val="1"/>
      <w:numFmt w:val="bullet"/>
      <w:lvlText w:val="•"/>
      <w:lvlJc w:val="left"/>
      <w:pPr>
        <w:tabs>
          <w:tab w:val="num" w:pos="5760"/>
        </w:tabs>
        <w:ind w:left="5760" w:hanging="360"/>
      </w:pPr>
      <w:rPr>
        <w:rFonts w:ascii="Arial" w:hAnsi="Arial" w:hint="default"/>
      </w:rPr>
    </w:lvl>
    <w:lvl w:ilvl="8" w:tplc="A4F871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175491"/>
    <w:multiLevelType w:val="hybridMultilevel"/>
    <w:tmpl w:val="56A42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60AA2FA1"/>
    <w:multiLevelType w:val="hybridMultilevel"/>
    <w:tmpl w:val="3B20B510"/>
    <w:lvl w:ilvl="0" w:tplc="A79A347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704026"/>
    <w:multiLevelType w:val="hybridMultilevel"/>
    <w:tmpl w:val="5B7E81FE"/>
    <w:lvl w:ilvl="0" w:tplc="48AAFE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A2538D"/>
    <w:multiLevelType w:val="hybridMultilevel"/>
    <w:tmpl w:val="0C380A8A"/>
    <w:lvl w:ilvl="0" w:tplc="9612B97A">
      <w:numFmt w:val="bullet"/>
      <w:lvlText w:val="-"/>
      <w:lvlJc w:val="left"/>
      <w:pPr>
        <w:ind w:left="1267" w:hanging="360"/>
      </w:pPr>
      <w:rPr>
        <w:rFonts w:ascii="Arial" w:eastAsiaTheme="minorHAnsi" w:hAnsi="Arial" w:cs="Arial" w:hint="default"/>
      </w:rPr>
    </w:lvl>
    <w:lvl w:ilvl="1" w:tplc="08090003">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873226880">
    <w:abstractNumId w:val="2"/>
  </w:num>
  <w:num w:numId="2" w16cid:durableId="1422875722">
    <w:abstractNumId w:val="10"/>
  </w:num>
  <w:num w:numId="3" w16cid:durableId="1740512952">
    <w:abstractNumId w:val="1"/>
  </w:num>
  <w:num w:numId="4" w16cid:durableId="1592742014">
    <w:abstractNumId w:val="3"/>
  </w:num>
  <w:num w:numId="5" w16cid:durableId="38214605">
    <w:abstractNumId w:val="6"/>
  </w:num>
  <w:num w:numId="6" w16cid:durableId="216094062">
    <w:abstractNumId w:val="4"/>
  </w:num>
  <w:num w:numId="7" w16cid:durableId="99493912">
    <w:abstractNumId w:val="8"/>
  </w:num>
  <w:num w:numId="8" w16cid:durableId="1310788285">
    <w:abstractNumId w:val="7"/>
  </w:num>
  <w:num w:numId="9" w16cid:durableId="85469742">
    <w:abstractNumId w:val="5"/>
  </w:num>
  <w:num w:numId="10" w16cid:durableId="1813254933">
    <w:abstractNumId w:val="0"/>
  </w:num>
  <w:num w:numId="11" w16cid:durableId="10634081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9E3"/>
    <w:rsid w:val="00004133"/>
    <w:rsid w:val="00026EEE"/>
    <w:rsid w:val="000272CD"/>
    <w:rsid w:val="00036C7F"/>
    <w:rsid w:val="00046878"/>
    <w:rsid w:val="000611C6"/>
    <w:rsid w:val="000744A6"/>
    <w:rsid w:val="00092E86"/>
    <w:rsid w:val="00096BA5"/>
    <w:rsid w:val="000A132F"/>
    <w:rsid w:val="000B165A"/>
    <w:rsid w:val="000F528F"/>
    <w:rsid w:val="000F612E"/>
    <w:rsid w:val="000F7C80"/>
    <w:rsid w:val="00123A48"/>
    <w:rsid w:val="001411DD"/>
    <w:rsid w:val="00154753"/>
    <w:rsid w:val="001666BD"/>
    <w:rsid w:val="0017258F"/>
    <w:rsid w:val="00193B49"/>
    <w:rsid w:val="00195C4D"/>
    <w:rsid w:val="001A147F"/>
    <w:rsid w:val="001A7996"/>
    <w:rsid w:val="001B01A4"/>
    <w:rsid w:val="001B06FA"/>
    <w:rsid w:val="001B6C7E"/>
    <w:rsid w:val="001C5876"/>
    <w:rsid w:val="002012B6"/>
    <w:rsid w:val="00204334"/>
    <w:rsid w:val="002104E6"/>
    <w:rsid w:val="00213EBD"/>
    <w:rsid w:val="002213A3"/>
    <w:rsid w:val="00227941"/>
    <w:rsid w:val="00231C14"/>
    <w:rsid w:val="00236221"/>
    <w:rsid w:val="0023767E"/>
    <w:rsid w:val="002450AC"/>
    <w:rsid w:val="00247111"/>
    <w:rsid w:val="00253847"/>
    <w:rsid w:val="00255C08"/>
    <w:rsid w:val="002A629F"/>
    <w:rsid w:val="002B48F0"/>
    <w:rsid w:val="002C6E6B"/>
    <w:rsid w:val="002F477C"/>
    <w:rsid w:val="00306BE1"/>
    <w:rsid w:val="00335094"/>
    <w:rsid w:val="00336DE7"/>
    <w:rsid w:val="003425B8"/>
    <w:rsid w:val="00346344"/>
    <w:rsid w:val="00355E78"/>
    <w:rsid w:val="00366A76"/>
    <w:rsid w:val="00374BCF"/>
    <w:rsid w:val="003A2EF0"/>
    <w:rsid w:val="003A3CB0"/>
    <w:rsid w:val="003A7448"/>
    <w:rsid w:val="003C1114"/>
    <w:rsid w:val="003C58E9"/>
    <w:rsid w:val="003C68AB"/>
    <w:rsid w:val="003E07CE"/>
    <w:rsid w:val="003F108C"/>
    <w:rsid w:val="00405A77"/>
    <w:rsid w:val="004074C8"/>
    <w:rsid w:val="00415904"/>
    <w:rsid w:val="0042641C"/>
    <w:rsid w:val="00431BB9"/>
    <w:rsid w:val="00432AD8"/>
    <w:rsid w:val="00433AD2"/>
    <w:rsid w:val="00461D01"/>
    <w:rsid w:val="004669B7"/>
    <w:rsid w:val="00490283"/>
    <w:rsid w:val="004972D6"/>
    <w:rsid w:val="004B4A2C"/>
    <w:rsid w:val="004B7A12"/>
    <w:rsid w:val="004E50E2"/>
    <w:rsid w:val="004E5279"/>
    <w:rsid w:val="00505CA9"/>
    <w:rsid w:val="005118AE"/>
    <w:rsid w:val="00513CDD"/>
    <w:rsid w:val="005179BA"/>
    <w:rsid w:val="005207BC"/>
    <w:rsid w:val="00534FCD"/>
    <w:rsid w:val="00540B64"/>
    <w:rsid w:val="005443E9"/>
    <w:rsid w:val="00545A53"/>
    <w:rsid w:val="0055097D"/>
    <w:rsid w:val="00563150"/>
    <w:rsid w:val="005757A4"/>
    <w:rsid w:val="005966FF"/>
    <w:rsid w:val="005A167E"/>
    <w:rsid w:val="005B6022"/>
    <w:rsid w:val="005C637D"/>
    <w:rsid w:val="005D4716"/>
    <w:rsid w:val="005E7200"/>
    <w:rsid w:val="005F718F"/>
    <w:rsid w:val="00604740"/>
    <w:rsid w:val="006047B3"/>
    <w:rsid w:val="006069DF"/>
    <w:rsid w:val="00607293"/>
    <w:rsid w:val="00640BA4"/>
    <w:rsid w:val="0066759A"/>
    <w:rsid w:val="00680016"/>
    <w:rsid w:val="00687A1C"/>
    <w:rsid w:val="006A2965"/>
    <w:rsid w:val="006B49B0"/>
    <w:rsid w:val="006C170F"/>
    <w:rsid w:val="006C19AE"/>
    <w:rsid w:val="006D1559"/>
    <w:rsid w:val="006D4F25"/>
    <w:rsid w:val="00714F6D"/>
    <w:rsid w:val="00717E7F"/>
    <w:rsid w:val="00721AC4"/>
    <w:rsid w:val="00734C54"/>
    <w:rsid w:val="007351B2"/>
    <w:rsid w:val="00752373"/>
    <w:rsid w:val="00770B61"/>
    <w:rsid w:val="00776125"/>
    <w:rsid w:val="0078107E"/>
    <w:rsid w:val="0079780C"/>
    <w:rsid w:val="007A7707"/>
    <w:rsid w:val="007B0C9B"/>
    <w:rsid w:val="007B28DA"/>
    <w:rsid w:val="007E6027"/>
    <w:rsid w:val="007F3442"/>
    <w:rsid w:val="007F7674"/>
    <w:rsid w:val="007F7D92"/>
    <w:rsid w:val="00801F59"/>
    <w:rsid w:val="00803503"/>
    <w:rsid w:val="008052A6"/>
    <w:rsid w:val="008065D3"/>
    <w:rsid w:val="00811EEF"/>
    <w:rsid w:val="008153A7"/>
    <w:rsid w:val="00821D98"/>
    <w:rsid w:val="00822C2A"/>
    <w:rsid w:val="008277C2"/>
    <w:rsid w:val="00833CD1"/>
    <w:rsid w:val="0083737D"/>
    <w:rsid w:val="008521BF"/>
    <w:rsid w:val="008B04E5"/>
    <w:rsid w:val="008B6FED"/>
    <w:rsid w:val="008B7A80"/>
    <w:rsid w:val="008C1E16"/>
    <w:rsid w:val="008E5FA0"/>
    <w:rsid w:val="008F0020"/>
    <w:rsid w:val="008F2CF6"/>
    <w:rsid w:val="008F2D86"/>
    <w:rsid w:val="00915494"/>
    <w:rsid w:val="00917689"/>
    <w:rsid w:val="009244F9"/>
    <w:rsid w:val="00926A4C"/>
    <w:rsid w:val="009305CA"/>
    <w:rsid w:val="00936654"/>
    <w:rsid w:val="00944070"/>
    <w:rsid w:val="00970FD2"/>
    <w:rsid w:val="009712C1"/>
    <w:rsid w:val="009902ED"/>
    <w:rsid w:val="00995C21"/>
    <w:rsid w:val="009B159A"/>
    <w:rsid w:val="009B32F1"/>
    <w:rsid w:val="009B6D49"/>
    <w:rsid w:val="009B6FB5"/>
    <w:rsid w:val="009F38B7"/>
    <w:rsid w:val="00A17E82"/>
    <w:rsid w:val="00A21F06"/>
    <w:rsid w:val="00A250E6"/>
    <w:rsid w:val="00A30F6A"/>
    <w:rsid w:val="00A45D0B"/>
    <w:rsid w:val="00A55F63"/>
    <w:rsid w:val="00A605D6"/>
    <w:rsid w:val="00A82DD4"/>
    <w:rsid w:val="00A83BB5"/>
    <w:rsid w:val="00A865E3"/>
    <w:rsid w:val="00A96081"/>
    <w:rsid w:val="00A966DD"/>
    <w:rsid w:val="00AA73BA"/>
    <w:rsid w:val="00AC77A0"/>
    <w:rsid w:val="00AF15CC"/>
    <w:rsid w:val="00B628D1"/>
    <w:rsid w:val="00B8322A"/>
    <w:rsid w:val="00B83D72"/>
    <w:rsid w:val="00B84D6C"/>
    <w:rsid w:val="00B872A8"/>
    <w:rsid w:val="00BA08E9"/>
    <w:rsid w:val="00BA0FA9"/>
    <w:rsid w:val="00BA592C"/>
    <w:rsid w:val="00BB20F7"/>
    <w:rsid w:val="00BC58C5"/>
    <w:rsid w:val="00BF4D8E"/>
    <w:rsid w:val="00C002AC"/>
    <w:rsid w:val="00C12A23"/>
    <w:rsid w:val="00C165C9"/>
    <w:rsid w:val="00C23B4F"/>
    <w:rsid w:val="00C37376"/>
    <w:rsid w:val="00C533E3"/>
    <w:rsid w:val="00C66441"/>
    <w:rsid w:val="00C85D30"/>
    <w:rsid w:val="00C9775B"/>
    <w:rsid w:val="00CA290B"/>
    <w:rsid w:val="00CA3980"/>
    <w:rsid w:val="00CA55C2"/>
    <w:rsid w:val="00CA70F0"/>
    <w:rsid w:val="00CB4984"/>
    <w:rsid w:val="00CC76D0"/>
    <w:rsid w:val="00CD3E98"/>
    <w:rsid w:val="00CE0A36"/>
    <w:rsid w:val="00D01FAB"/>
    <w:rsid w:val="00D104E4"/>
    <w:rsid w:val="00D134EE"/>
    <w:rsid w:val="00D240C9"/>
    <w:rsid w:val="00D437C1"/>
    <w:rsid w:val="00D4474C"/>
    <w:rsid w:val="00D77022"/>
    <w:rsid w:val="00D93AAF"/>
    <w:rsid w:val="00DA25B9"/>
    <w:rsid w:val="00DA582B"/>
    <w:rsid w:val="00DB2B73"/>
    <w:rsid w:val="00DB5192"/>
    <w:rsid w:val="00DB53D4"/>
    <w:rsid w:val="00DB7AED"/>
    <w:rsid w:val="00DC1362"/>
    <w:rsid w:val="00DD2CF4"/>
    <w:rsid w:val="00DF5608"/>
    <w:rsid w:val="00DF58A9"/>
    <w:rsid w:val="00E36340"/>
    <w:rsid w:val="00E54480"/>
    <w:rsid w:val="00E607EE"/>
    <w:rsid w:val="00E76B7E"/>
    <w:rsid w:val="00E86698"/>
    <w:rsid w:val="00E86EDD"/>
    <w:rsid w:val="00EA0EF3"/>
    <w:rsid w:val="00EA3AF9"/>
    <w:rsid w:val="00EB280B"/>
    <w:rsid w:val="00EB6659"/>
    <w:rsid w:val="00ED7626"/>
    <w:rsid w:val="00EE46A8"/>
    <w:rsid w:val="00EE4D72"/>
    <w:rsid w:val="00EF79E3"/>
    <w:rsid w:val="00F11525"/>
    <w:rsid w:val="00F21A65"/>
    <w:rsid w:val="00F35035"/>
    <w:rsid w:val="00F54CBF"/>
    <w:rsid w:val="00F61AF1"/>
    <w:rsid w:val="00F65B0B"/>
    <w:rsid w:val="00F679BB"/>
    <w:rsid w:val="00F71F80"/>
    <w:rsid w:val="00F7245A"/>
    <w:rsid w:val="00F760B8"/>
    <w:rsid w:val="00F76993"/>
    <w:rsid w:val="00F83B75"/>
    <w:rsid w:val="00F95634"/>
    <w:rsid w:val="00F97636"/>
    <w:rsid w:val="00FB5B05"/>
    <w:rsid w:val="00FB6C55"/>
    <w:rsid w:val="00FE244F"/>
    <w:rsid w:val="00FE6C44"/>
    <w:rsid w:val="00FE78D6"/>
    <w:rsid w:val="00FF24DE"/>
    <w:rsid w:val="00FF7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60A661B"/>
  <w15:chartTrackingRefBased/>
  <w15:docId w15:val="{BB2CD1B4-8D6F-4F72-8629-3EA465F44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F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B6F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B6FB5"/>
    <w:pPr>
      <w:pBdr>
        <w:top w:val="none" w:sz="0" w:space="0" w:color="auto"/>
      </w:pBdr>
      <w:spacing w:before="180"/>
      <w:outlineLvl w:val="1"/>
    </w:pPr>
    <w:rPr>
      <w:sz w:val="32"/>
    </w:rPr>
  </w:style>
  <w:style w:type="paragraph" w:styleId="Heading3">
    <w:name w:val="heading 3"/>
    <w:basedOn w:val="Heading2"/>
    <w:next w:val="Normal"/>
    <w:qFormat/>
    <w:rsid w:val="009B6FB5"/>
    <w:pPr>
      <w:spacing w:before="120"/>
      <w:outlineLvl w:val="2"/>
    </w:pPr>
    <w:rPr>
      <w:sz w:val="28"/>
    </w:rPr>
  </w:style>
  <w:style w:type="paragraph" w:styleId="Heading4">
    <w:name w:val="heading 4"/>
    <w:basedOn w:val="Heading3"/>
    <w:next w:val="Normal"/>
    <w:qFormat/>
    <w:rsid w:val="009B6FB5"/>
    <w:pPr>
      <w:ind w:left="1418" w:hanging="1418"/>
      <w:outlineLvl w:val="3"/>
    </w:pPr>
    <w:rPr>
      <w:sz w:val="24"/>
    </w:rPr>
  </w:style>
  <w:style w:type="paragraph" w:styleId="Heading5">
    <w:name w:val="heading 5"/>
    <w:basedOn w:val="Heading4"/>
    <w:next w:val="Normal"/>
    <w:qFormat/>
    <w:rsid w:val="009B6FB5"/>
    <w:pPr>
      <w:ind w:left="1701" w:hanging="1701"/>
      <w:outlineLvl w:val="4"/>
    </w:pPr>
    <w:rPr>
      <w:sz w:val="22"/>
    </w:rPr>
  </w:style>
  <w:style w:type="paragraph" w:styleId="Heading6">
    <w:name w:val="heading 6"/>
    <w:basedOn w:val="H6"/>
    <w:next w:val="Normal"/>
    <w:qFormat/>
    <w:rsid w:val="009B6FB5"/>
    <w:pPr>
      <w:outlineLvl w:val="5"/>
    </w:pPr>
  </w:style>
  <w:style w:type="paragraph" w:styleId="Heading7">
    <w:name w:val="heading 7"/>
    <w:basedOn w:val="H6"/>
    <w:next w:val="Normal"/>
    <w:qFormat/>
    <w:rsid w:val="009B6FB5"/>
    <w:pPr>
      <w:outlineLvl w:val="6"/>
    </w:pPr>
  </w:style>
  <w:style w:type="paragraph" w:styleId="Heading8">
    <w:name w:val="heading 8"/>
    <w:basedOn w:val="Heading1"/>
    <w:next w:val="Normal"/>
    <w:qFormat/>
    <w:rsid w:val="009B6FB5"/>
    <w:pPr>
      <w:ind w:left="0" w:firstLine="0"/>
      <w:outlineLvl w:val="7"/>
    </w:pPr>
  </w:style>
  <w:style w:type="paragraph" w:styleId="Heading9">
    <w:name w:val="heading 9"/>
    <w:basedOn w:val="Heading8"/>
    <w:next w:val="Normal"/>
    <w:qFormat/>
    <w:rsid w:val="009B6FB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6FB5"/>
    <w:pPr>
      <w:spacing w:before="180"/>
      <w:ind w:left="2693" w:hanging="2693"/>
    </w:pPr>
    <w:rPr>
      <w:b/>
    </w:rPr>
  </w:style>
  <w:style w:type="paragraph" w:styleId="TOC1">
    <w:name w:val="toc 1"/>
    <w:semiHidden/>
    <w:rsid w:val="009B6F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B6F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B6FB5"/>
    <w:pPr>
      <w:ind w:left="1701" w:hanging="1701"/>
    </w:pPr>
  </w:style>
  <w:style w:type="paragraph" w:styleId="TOC4">
    <w:name w:val="toc 4"/>
    <w:basedOn w:val="TOC3"/>
    <w:semiHidden/>
    <w:rsid w:val="009B6FB5"/>
    <w:pPr>
      <w:ind w:left="1418" w:hanging="1418"/>
    </w:pPr>
  </w:style>
  <w:style w:type="paragraph" w:styleId="TOC3">
    <w:name w:val="toc 3"/>
    <w:basedOn w:val="TOC2"/>
    <w:semiHidden/>
    <w:rsid w:val="009B6FB5"/>
    <w:pPr>
      <w:ind w:left="1134" w:hanging="1134"/>
    </w:pPr>
  </w:style>
  <w:style w:type="paragraph" w:styleId="TOC2">
    <w:name w:val="toc 2"/>
    <w:basedOn w:val="TOC1"/>
    <w:semiHidden/>
    <w:rsid w:val="009B6FB5"/>
    <w:pPr>
      <w:keepNext w:val="0"/>
      <w:spacing w:before="0"/>
      <w:ind w:left="851" w:hanging="851"/>
    </w:pPr>
    <w:rPr>
      <w:sz w:val="20"/>
    </w:rPr>
  </w:style>
  <w:style w:type="paragraph" w:styleId="Index2">
    <w:name w:val="index 2"/>
    <w:basedOn w:val="Index1"/>
    <w:semiHidden/>
    <w:rsid w:val="009B6FB5"/>
    <w:pPr>
      <w:ind w:left="284"/>
    </w:pPr>
  </w:style>
  <w:style w:type="paragraph" w:styleId="Index1">
    <w:name w:val="index 1"/>
    <w:basedOn w:val="Normal"/>
    <w:semiHidden/>
    <w:rsid w:val="009B6FB5"/>
    <w:pPr>
      <w:keepLines/>
      <w:spacing w:after="0"/>
    </w:pPr>
  </w:style>
  <w:style w:type="paragraph" w:customStyle="1" w:styleId="ZH">
    <w:name w:val="ZH"/>
    <w:rsid w:val="009B6F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B6FB5"/>
    <w:pPr>
      <w:outlineLvl w:val="9"/>
    </w:pPr>
  </w:style>
  <w:style w:type="paragraph" w:styleId="ListNumber2">
    <w:name w:val="List Number 2"/>
    <w:basedOn w:val="ListNumber"/>
    <w:semiHidden/>
    <w:rsid w:val="009B6FB5"/>
    <w:pPr>
      <w:ind w:left="851"/>
    </w:pPr>
  </w:style>
  <w:style w:type="paragraph" w:styleId="Header">
    <w:name w:val="header"/>
    <w:semiHidden/>
    <w:rsid w:val="009B6F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B6FB5"/>
    <w:rPr>
      <w:b/>
      <w:position w:val="6"/>
      <w:sz w:val="16"/>
    </w:rPr>
  </w:style>
  <w:style w:type="paragraph" w:styleId="FootnoteText">
    <w:name w:val="footnote text"/>
    <w:basedOn w:val="Normal"/>
    <w:semiHidden/>
    <w:rsid w:val="009B6FB5"/>
    <w:pPr>
      <w:keepLines/>
      <w:spacing w:after="0"/>
      <w:ind w:left="454" w:hanging="454"/>
    </w:pPr>
    <w:rPr>
      <w:sz w:val="16"/>
    </w:rPr>
  </w:style>
  <w:style w:type="paragraph" w:customStyle="1" w:styleId="TAH">
    <w:name w:val="TAH"/>
    <w:basedOn w:val="TAC"/>
    <w:link w:val="TAHCar"/>
    <w:qFormat/>
    <w:rsid w:val="009B6FB5"/>
    <w:rPr>
      <w:b/>
    </w:rPr>
  </w:style>
  <w:style w:type="paragraph" w:customStyle="1" w:styleId="TAC">
    <w:name w:val="TAC"/>
    <w:basedOn w:val="TAL"/>
    <w:link w:val="TACChar"/>
    <w:qFormat/>
    <w:rsid w:val="009B6FB5"/>
    <w:pPr>
      <w:jc w:val="center"/>
    </w:pPr>
  </w:style>
  <w:style w:type="paragraph" w:customStyle="1" w:styleId="TF">
    <w:name w:val="TF"/>
    <w:basedOn w:val="TH"/>
    <w:rsid w:val="009B6FB5"/>
    <w:pPr>
      <w:keepNext w:val="0"/>
      <w:spacing w:before="0" w:after="240"/>
    </w:pPr>
  </w:style>
  <w:style w:type="paragraph" w:customStyle="1" w:styleId="NO">
    <w:name w:val="NO"/>
    <w:basedOn w:val="Normal"/>
    <w:rsid w:val="009B6FB5"/>
    <w:pPr>
      <w:keepLines/>
      <w:ind w:left="1135" w:hanging="851"/>
    </w:pPr>
  </w:style>
  <w:style w:type="paragraph" w:styleId="TOC9">
    <w:name w:val="toc 9"/>
    <w:basedOn w:val="TOC8"/>
    <w:semiHidden/>
    <w:rsid w:val="009B6FB5"/>
    <w:pPr>
      <w:ind w:left="1418" w:hanging="1418"/>
    </w:pPr>
  </w:style>
  <w:style w:type="paragraph" w:customStyle="1" w:styleId="EX">
    <w:name w:val="EX"/>
    <w:basedOn w:val="Normal"/>
    <w:rsid w:val="009B6FB5"/>
    <w:pPr>
      <w:keepLines/>
      <w:ind w:left="1702" w:hanging="1418"/>
    </w:pPr>
  </w:style>
  <w:style w:type="paragraph" w:customStyle="1" w:styleId="FP">
    <w:name w:val="FP"/>
    <w:basedOn w:val="Normal"/>
    <w:rsid w:val="009B6FB5"/>
    <w:pPr>
      <w:spacing w:after="0"/>
    </w:pPr>
  </w:style>
  <w:style w:type="paragraph" w:customStyle="1" w:styleId="LD">
    <w:name w:val="LD"/>
    <w:rsid w:val="009B6F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B6FB5"/>
    <w:pPr>
      <w:spacing w:after="0"/>
    </w:pPr>
  </w:style>
  <w:style w:type="paragraph" w:customStyle="1" w:styleId="EW">
    <w:name w:val="EW"/>
    <w:basedOn w:val="EX"/>
    <w:rsid w:val="009B6FB5"/>
    <w:pPr>
      <w:spacing w:after="0"/>
    </w:pPr>
  </w:style>
  <w:style w:type="paragraph" w:styleId="TOC6">
    <w:name w:val="toc 6"/>
    <w:basedOn w:val="TOC5"/>
    <w:next w:val="Normal"/>
    <w:semiHidden/>
    <w:rsid w:val="009B6FB5"/>
    <w:pPr>
      <w:ind w:left="1985" w:hanging="1985"/>
    </w:pPr>
  </w:style>
  <w:style w:type="paragraph" w:styleId="TOC7">
    <w:name w:val="toc 7"/>
    <w:basedOn w:val="TOC6"/>
    <w:next w:val="Normal"/>
    <w:semiHidden/>
    <w:rsid w:val="009B6FB5"/>
    <w:pPr>
      <w:ind w:left="2268" w:hanging="2268"/>
    </w:pPr>
  </w:style>
  <w:style w:type="paragraph" w:styleId="ListBullet2">
    <w:name w:val="List Bullet 2"/>
    <w:basedOn w:val="ListBullet"/>
    <w:semiHidden/>
    <w:rsid w:val="009B6FB5"/>
    <w:pPr>
      <w:ind w:left="851"/>
    </w:pPr>
  </w:style>
  <w:style w:type="paragraph" w:styleId="ListBullet3">
    <w:name w:val="List Bullet 3"/>
    <w:basedOn w:val="ListBullet2"/>
    <w:semiHidden/>
    <w:rsid w:val="009B6FB5"/>
    <w:pPr>
      <w:ind w:left="1135"/>
    </w:pPr>
  </w:style>
  <w:style w:type="paragraph" w:styleId="ListNumber">
    <w:name w:val="List Number"/>
    <w:basedOn w:val="List"/>
    <w:semiHidden/>
    <w:rsid w:val="009B6FB5"/>
  </w:style>
  <w:style w:type="paragraph" w:customStyle="1" w:styleId="EQ">
    <w:name w:val="EQ"/>
    <w:basedOn w:val="Normal"/>
    <w:next w:val="Normal"/>
    <w:rsid w:val="009B6FB5"/>
    <w:pPr>
      <w:keepLines/>
      <w:tabs>
        <w:tab w:val="center" w:pos="4536"/>
        <w:tab w:val="right" w:pos="9072"/>
      </w:tabs>
    </w:pPr>
    <w:rPr>
      <w:noProof/>
    </w:rPr>
  </w:style>
  <w:style w:type="paragraph" w:customStyle="1" w:styleId="TH">
    <w:name w:val="TH"/>
    <w:basedOn w:val="Normal"/>
    <w:rsid w:val="009B6FB5"/>
    <w:pPr>
      <w:keepNext/>
      <w:keepLines/>
      <w:spacing w:before="60"/>
      <w:jc w:val="center"/>
    </w:pPr>
    <w:rPr>
      <w:rFonts w:ascii="Arial" w:hAnsi="Arial"/>
      <w:b/>
    </w:rPr>
  </w:style>
  <w:style w:type="paragraph" w:customStyle="1" w:styleId="NF">
    <w:name w:val="NF"/>
    <w:basedOn w:val="NO"/>
    <w:rsid w:val="009B6FB5"/>
    <w:pPr>
      <w:keepNext/>
      <w:spacing w:after="0"/>
    </w:pPr>
    <w:rPr>
      <w:rFonts w:ascii="Arial" w:hAnsi="Arial"/>
      <w:sz w:val="18"/>
    </w:rPr>
  </w:style>
  <w:style w:type="paragraph" w:customStyle="1" w:styleId="PL">
    <w:name w:val="PL"/>
    <w:rsid w:val="009B6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6FB5"/>
    <w:pPr>
      <w:jc w:val="right"/>
    </w:pPr>
  </w:style>
  <w:style w:type="paragraph" w:customStyle="1" w:styleId="H6">
    <w:name w:val="H6"/>
    <w:basedOn w:val="Heading5"/>
    <w:next w:val="Normal"/>
    <w:rsid w:val="009B6FB5"/>
    <w:pPr>
      <w:ind w:left="1985" w:hanging="1985"/>
      <w:outlineLvl w:val="9"/>
    </w:pPr>
    <w:rPr>
      <w:sz w:val="20"/>
    </w:rPr>
  </w:style>
  <w:style w:type="paragraph" w:customStyle="1" w:styleId="TAN">
    <w:name w:val="TAN"/>
    <w:basedOn w:val="TAL"/>
    <w:link w:val="TANChar"/>
    <w:rsid w:val="009B6FB5"/>
    <w:pPr>
      <w:ind w:left="851" w:hanging="851"/>
    </w:pPr>
  </w:style>
  <w:style w:type="paragraph" w:customStyle="1" w:styleId="TAL">
    <w:name w:val="TAL"/>
    <w:basedOn w:val="Normal"/>
    <w:rsid w:val="009B6FB5"/>
    <w:pPr>
      <w:keepNext/>
      <w:keepLines/>
      <w:spacing w:after="0"/>
    </w:pPr>
    <w:rPr>
      <w:rFonts w:ascii="Arial" w:hAnsi="Arial"/>
      <w:sz w:val="18"/>
    </w:rPr>
  </w:style>
  <w:style w:type="paragraph" w:customStyle="1" w:styleId="ZA">
    <w:name w:val="ZA"/>
    <w:rsid w:val="009B6F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6F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6F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B6F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6FB5"/>
    <w:pPr>
      <w:framePr w:wrap="notBeside" w:y="16161"/>
    </w:pPr>
  </w:style>
  <w:style w:type="character" w:customStyle="1" w:styleId="ZGSM">
    <w:name w:val="ZGSM"/>
    <w:rsid w:val="009B6FB5"/>
  </w:style>
  <w:style w:type="paragraph" w:styleId="List2">
    <w:name w:val="List 2"/>
    <w:basedOn w:val="List"/>
    <w:semiHidden/>
    <w:rsid w:val="009B6FB5"/>
    <w:pPr>
      <w:ind w:left="851"/>
    </w:pPr>
  </w:style>
  <w:style w:type="paragraph" w:customStyle="1" w:styleId="ZG">
    <w:name w:val="ZG"/>
    <w:rsid w:val="009B6F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B6FB5"/>
    <w:pPr>
      <w:ind w:left="1135"/>
    </w:pPr>
  </w:style>
  <w:style w:type="paragraph" w:styleId="List4">
    <w:name w:val="List 4"/>
    <w:basedOn w:val="List3"/>
    <w:semiHidden/>
    <w:rsid w:val="009B6FB5"/>
    <w:pPr>
      <w:ind w:left="1418"/>
    </w:pPr>
  </w:style>
  <w:style w:type="paragraph" w:styleId="List5">
    <w:name w:val="List 5"/>
    <w:basedOn w:val="List4"/>
    <w:semiHidden/>
    <w:rsid w:val="009B6FB5"/>
    <w:pPr>
      <w:ind w:left="1702"/>
    </w:pPr>
  </w:style>
  <w:style w:type="paragraph" w:customStyle="1" w:styleId="EditorsNote">
    <w:name w:val="Editor's Note"/>
    <w:basedOn w:val="NO"/>
    <w:rsid w:val="009B6FB5"/>
    <w:rPr>
      <w:color w:val="FF0000"/>
    </w:rPr>
  </w:style>
  <w:style w:type="paragraph" w:styleId="List">
    <w:name w:val="List"/>
    <w:basedOn w:val="Normal"/>
    <w:semiHidden/>
    <w:rsid w:val="009B6FB5"/>
    <w:pPr>
      <w:ind w:left="568" w:hanging="284"/>
    </w:pPr>
  </w:style>
  <w:style w:type="paragraph" w:styleId="ListBullet">
    <w:name w:val="List Bullet"/>
    <w:basedOn w:val="List"/>
    <w:semiHidden/>
    <w:rsid w:val="009B6FB5"/>
  </w:style>
  <w:style w:type="paragraph" w:styleId="ListBullet4">
    <w:name w:val="List Bullet 4"/>
    <w:basedOn w:val="ListBullet3"/>
    <w:semiHidden/>
    <w:rsid w:val="009B6FB5"/>
    <w:pPr>
      <w:ind w:left="1418"/>
    </w:pPr>
  </w:style>
  <w:style w:type="paragraph" w:styleId="ListBullet5">
    <w:name w:val="List Bullet 5"/>
    <w:basedOn w:val="ListBullet4"/>
    <w:semiHidden/>
    <w:rsid w:val="009B6FB5"/>
    <w:pPr>
      <w:ind w:left="1702"/>
    </w:pPr>
  </w:style>
  <w:style w:type="paragraph" w:customStyle="1" w:styleId="B1">
    <w:name w:val="B1"/>
    <w:basedOn w:val="List"/>
    <w:rsid w:val="009B6FB5"/>
  </w:style>
  <w:style w:type="paragraph" w:customStyle="1" w:styleId="B2">
    <w:name w:val="B2"/>
    <w:basedOn w:val="List2"/>
    <w:rsid w:val="009B6FB5"/>
  </w:style>
  <w:style w:type="paragraph" w:customStyle="1" w:styleId="B3">
    <w:name w:val="B3"/>
    <w:basedOn w:val="List3"/>
    <w:rsid w:val="009B6FB5"/>
  </w:style>
  <w:style w:type="paragraph" w:customStyle="1" w:styleId="B4">
    <w:name w:val="B4"/>
    <w:basedOn w:val="List4"/>
    <w:rsid w:val="009B6FB5"/>
  </w:style>
  <w:style w:type="paragraph" w:customStyle="1" w:styleId="B5">
    <w:name w:val="B5"/>
    <w:basedOn w:val="List5"/>
    <w:rsid w:val="009B6FB5"/>
  </w:style>
  <w:style w:type="paragraph" w:styleId="Footer">
    <w:name w:val="footer"/>
    <w:basedOn w:val="Header"/>
    <w:semiHidden/>
    <w:rsid w:val="009B6FB5"/>
    <w:pPr>
      <w:jc w:val="center"/>
    </w:pPr>
    <w:rPr>
      <w:i/>
    </w:rPr>
  </w:style>
  <w:style w:type="paragraph" w:customStyle="1" w:styleId="ZTD">
    <w:name w:val="ZTD"/>
    <w:basedOn w:val="ZB"/>
    <w:rsid w:val="009B6FB5"/>
    <w:pPr>
      <w:framePr w:hRule="auto" w:wrap="notBeside" w:y="852"/>
    </w:pPr>
    <w:rPr>
      <w:i w:val="0"/>
      <w:sz w:val="40"/>
    </w:rPr>
  </w:style>
  <w:style w:type="paragraph" w:styleId="NoSpacing">
    <w:name w:val="No Spacing"/>
    <w:uiPriority w:val="1"/>
    <w:qFormat/>
    <w:rsid w:val="000611C6"/>
    <w:rPr>
      <w:rFonts w:ascii="Times New Roman" w:hAnsi="Times New Roman"/>
      <w:lang w:val="en-US" w:eastAsia="en-US"/>
    </w:rPr>
  </w:style>
  <w:style w:type="paragraph" w:styleId="BodyText">
    <w:name w:val="Body Text"/>
    <w:aliases w:val="bt"/>
    <w:basedOn w:val="Normal"/>
    <w:link w:val="BodyTextChar"/>
    <w:rsid w:val="000611C6"/>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0611C6"/>
    <w:rPr>
      <w:rFonts w:ascii="Times" w:eastAsia="SimSun" w:hAnsi="Times"/>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F61AF1"/>
    <w:pPr>
      <w:ind w:left="720"/>
      <w:contextualSpacing/>
    </w:pPr>
  </w:style>
  <w:style w:type="paragraph" w:styleId="Caption">
    <w:name w:val="caption"/>
    <w:basedOn w:val="Normal"/>
    <w:next w:val="Normal"/>
    <w:uiPriority w:val="35"/>
    <w:unhideWhenUsed/>
    <w:qFormat/>
    <w:rsid w:val="0055097D"/>
    <w:rPr>
      <w:b/>
      <w:bCs/>
    </w:rPr>
  </w:style>
  <w:style w:type="table" w:styleId="TableGrid">
    <w:name w:val="Table Grid"/>
    <w:basedOn w:val="TableNormal"/>
    <w:uiPriority w:val="39"/>
    <w:rsid w:val="00EA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5D0B"/>
    <w:rPr>
      <w:rFonts w:ascii="Times New Roman" w:hAnsi="Times New Roman"/>
    </w:rPr>
  </w:style>
  <w:style w:type="character" w:customStyle="1" w:styleId="TACChar">
    <w:name w:val="TAC Char"/>
    <w:link w:val="TAC"/>
    <w:qFormat/>
    <w:rsid w:val="00253847"/>
    <w:rPr>
      <w:rFonts w:ascii="Arial" w:hAnsi="Arial"/>
      <w:sz w:val="18"/>
    </w:rPr>
  </w:style>
  <w:style w:type="character" w:customStyle="1" w:styleId="TAHCar">
    <w:name w:val="TAH Car"/>
    <w:link w:val="TAH"/>
    <w:qFormat/>
    <w:rsid w:val="00253847"/>
    <w:rPr>
      <w:rFonts w:ascii="Arial" w:hAnsi="Arial"/>
      <w:b/>
      <w:sz w:val="18"/>
    </w:rPr>
  </w:style>
  <w:style w:type="character" w:customStyle="1" w:styleId="TANChar">
    <w:name w:val="TAN Char"/>
    <w:link w:val="TAN"/>
    <w:qFormat/>
    <w:rsid w:val="00253847"/>
    <w:rPr>
      <w:rFonts w:ascii="Arial" w:hAnsi="Arial"/>
      <w:sz w:val="18"/>
    </w:rPr>
  </w:style>
  <w:style w:type="paragraph" w:customStyle="1" w:styleId="TableParagraph">
    <w:name w:val="Table Paragraph"/>
    <w:basedOn w:val="Normal"/>
    <w:uiPriority w:val="1"/>
    <w:qFormat/>
    <w:rsid w:val="00AC77A0"/>
    <w:pPr>
      <w:widowControl w:val="0"/>
      <w:overflowPunct/>
      <w:adjustRightInd/>
      <w:spacing w:after="0"/>
      <w:ind w:left="18"/>
      <w:jc w:val="center"/>
      <w:textAlignment w:val="auto"/>
    </w:pPr>
    <w:rPr>
      <w:rFonts w:ascii="Arial" w:eastAsia="Arial" w:hAnsi="Arial" w:cs="Arial"/>
      <w:sz w:val="22"/>
      <w:szCs w:val="22"/>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49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341664">
      <w:bodyDiv w:val="1"/>
      <w:marLeft w:val="0"/>
      <w:marRight w:val="0"/>
      <w:marTop w:val="0"/>
      <w:marBottom w:val="0"/>
      <w:divBdr>
        <w:top w:val="none" w:sz="0" w:space="0" w:color="auto"/>
        <w:left w:val="none" w:sz="0" w:space="0" w:color="auto"/>
        <w:bottom w:val="none" w:sz="0" w:space="0" w:color="auto"/>
        <w:right w:val="none" w:sz="0" w:space="0" w:color="auto"/>
      </w:divBdr>
    </w:div>
    <w:div w:id="2065325477">
      <w:bodyDiv w:val="1"/>
      <w:marLeft w:val="0"/>
      <w:marRight w:val="0"/>
      <w:marTop w:val="0"/>
      <w:marBottom w:val="0"/>
      <w:divBdr>
        <w:top w:val="none" w:sz="0" w:space="0" w:color="auto"/>
        <w:left w:val="none" w:sz="0" w:space="0" w:color="auto"/>
        <w:bottom w:val="none" w:sz="0" w:space="0" w:color="auto"/>
        <w:right w:val="none" w:sz="0" w:space="0" w:color="auto"/>
      </w:divBdr>
      <w:divsChild>
        <w:div w:id="1274091735">
          <w:marLeft w:val="360"/>
          <w:marRight w:val="0"/>
          <w:marTop w:val="200"/>
          <w:marBottom w:val="0"/>
          <w:divBdr>
            <w:top w:val="none" w:sz="0" w:space="0" w:color="auto"/>
            <w:left w:val="none" w:sz="0" w:space="0" w:color="auto"/>
            <w:bottom w:val="none" w:sz="0" w:space="0" w:color="auto"/>
            <w:right w:val="none" w:sz="0" w:space="0" w:color="auto"/>
          </w:divBdr>
        </w:div>
        <w:div w:id="1136485477">
          <w:marLeft w:val="360"/>
          <w:marRight w:val="0"/>
          <w:marTop w:val="200"/>
          <w:marBottom w:val="0"/>
          <w:divBdr>
            <w:top w:val="none" w:sz="0" w:space="0" w:color="auto"/>
            <w:left w:val="none" w:sz="0" w:space="0" w:color="auto"/>
            <w:bottom w:val="none" w:sz="0" w:space="0" w:color="auto"/>
            <w:right w:val="none" w:sz="0" w:space="0" w:color="auto"/>
          </w:divBdr>
        </w:div>
        <w:div w:id="1537426106">
          <w:marLeft w:val="360"/>
          <w:marRight w:val="0"/>
          <w:marTop w:val="200"/>
          <w:marBottom w:val="0"/>
          <w:divBdr>
            <w:top w:val="none" w:sz="0" w:space="0" w:color="auto"/>
            <w:left w:val="none" w:sz="0" w:space="0" w:color="auto"/>
            <w:bottom w:val="none" w:sz="0" w:space="0" w:color="auto"/>
            <w:right w:val="none" w:sz="0" w:space="0" w:color="auto"/>
          </w:divBdr>
        </w:div>
        <w:div w:id="1150975213">
          <w:marLeft w:val="1080"/>
          <w:marRight w:val="0"/>
          <w:marTop w:val="100"/>
          <w:marBottom w:val="0"/>
          <w:divBdr>
            <w:top w:val="none" w:sz="0" w:space="0" w:color="auto"/>
            <w:left w:val="none" w:sz="0" w:space="0" w:color="auto"/>
            <w:bottom w:val="none" w:sz="0" w:space="0" w:color="auto"/>
            <w:right w:val="none" w:sz="0" w:space="0" w:color="auto"/>
          </w:divBdr>
        </w:div>
        <w:div w:id="957294973">
          <w:marLeft w:val="1080"/>
          <w:marRight w:val="0"/>
          <w:marTop w:val="100"/>
          <w:marBottom w:val="0"/>
          <w:divBdr>
            <w:top w:val="none" w:sz="0" w:space="0" w:color="auto"/>
            <w:left w:val="none" w:sz="0" w:space="0" w:color="auto"/>
            <w:bottom w:val="none" w:sz="0" w:space="0" w:color="auto"/>
            <w:right w:val="none" w:sz="0" w:space="0" w:color="auto"/>
          </w:divBdr>
        </w:div>
        <w:div w:id="332340186">
          <w:marLeft w:val="1080"/>
          <w:marRight w:val="0"/>
          <w:marTop w:val="100"/>
          <w:marBottom w:val="0"/>
          <w:divBdr>
            <w:top w:val="none" w:sz="0" w:space="0" w:color="auto"/>
            <w:left w:val="none" w:sz="0" w:space="0" w:color="auto"/>
            <w:bottom w:val="none" w:sz="0" w:space="0" w:color="auto"/>
            <w:right w:val="none" w:sz="0" w:space="0" w:color="auto"/>
          </w:divBdr>
        </w:div>
        <w:div w:id="1772050696">
          <w:marLeft w:val="360"/>
          <w:marRight w:val="0"/>
          <w:marTop w:val="200"/>
          <w:marBottom w:val="0"/>
          <w:divBdr>
            <w:top w:val="none" w:sz="0" w:space="0" w:color="auto"/>
            <w:left w:val="none" w:sz="0" w:space="0" w:color="auto"/>
            <w:bottom w:val="none" w:sz="0" w:space="0" w:color="auto"/>
            <w:right w:val="none" w:sz="0" w:space="0" w:color="auto"/>
          </w:divBdr>
        </w:div>
        <w:div w:id="32462097">
          <w:marLeft w:val="1080"/>
          <w:marRight w:val="0"/>
          <w:marTop w:val="100"/>
          <w:marBottom w:val="0"/>
          <w:divBdr>
            <w:top w:val="none" w:sz="0" w:space="0" w:color="auto"/>
            <w:left w:val="none" w:sz="0" w:space="0" w:color="auto"/>
            <w:bottom w:val="none" w:sz="0" w:space="0" w:color="auto"/>
            <w:right w:val="none" w:sz="0" w:space="0" w:color="auto"/>
          </w:divBdr>
        </w:div>
        <w:div w:id="1111240193">
          <w:marLeft w:val="360"/>
          <w:marRight w:val="0"/>
          <w:marTop w:val="200"/>
          <w:marBottom w:val="0"/>
          <w:divBdr>
            <w:top w:val="none" w:sz="0" w:space="0" w:color="auto"/>
            <w:left w:val="none" w:sz="0" w:space="0" w:color="auto"/>
            <w:bottom w:val="none" w:sz="0" w:space="0" w:color="auto"/>
            <w:right w:val="none" w:sz="0" w:space="0" w:color="auto"/>
          </w:divBdr>
        </w:div>
        <w:div w:id="888147085">
          <w:marLeft w:val="1080"/>
          <w:marRight w:val="0"/>
          <w:marTop w:val="100"/>
          <w:marBottom w:val="0"/>
          <w:divBdr>
            <w:top w:val="none" w:sz="0" w:space="0" w:color="auto"/>
            <w:left w:val="none" w:sz="0" w:space="0" w:color="auto"/>
            <w:bottom w:val="none" w:sz="0" w:space="0" w:color="auto"/>
            <w:right w:val="none" w:sz="0" w:space="0" w:color="auto"/>
          </w:divBdr>
        </w:div>
        <w:div w:id="260335061">
          <w:marLeft w:val="1080"/>
          <w:marRight w:val="0"/>
          <w:marTop w:val="100"/>
          <w:marBottom w:val="0"/>
          <w:divBdr>
            <w:top w:val="none" w:sz="0" w:space="0" w:color="auto"/>
            <w:left w:val="none" w:sz="0" w:space="0" w:color="auto"/>
            <w:bottom w:val="none" w:sz="0" w:space="0" w:color="auto"/>
            <w:right w:val="none" w:sz="0" w:space="0" w:color="auto"/>
          </w:divBdr>
        </w:div>
        <w:div w:id="9754497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Mis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9DED8-60D6-4111-A6A2-6C4FD4F29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71EB0-96B6-4102-8241-1FCF105F38C2}">
  <ds:schemaRefs>
    <ds:schemaRef ds:uri="http://schemas.microsoft.com/sharepoint/v3/contenttype/forms"/>
  </ds:schemaRefs>
</ds:datastoreItem>
</file>

<file path=customXml/itemProps3.xml><?xml version="1.0" encoding="utf-8"?>
<ds:datastoreItem xmlns:ds="http://schemas.openxmlformats.org/officeDocument/2006/customXml" ds:itemID="{7005096D-773F-4C5D-A1FF-51EDCDC9A3B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ED012F14-1A12-4E8F-A673-623AD1C9104F}">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5</Pages>
  <Words>1103</Words>
  <Characters>5766</Characters>
  <Application>Microsoft Office Word</Application>
  <DocSecurity>0</DocSecurity>
  <Lines>48</Lines>
  <Paragraphs>13</Paragraphs>
  <ScaleCrop>false</ScaleCrop>
  <Company>ETSI Sophia Antipolis</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Luca Lodigiani</cp:lastModifiedBy>
  <cp:revision>247</cp:revision>
  <cp:lastPrinted>1900-01-01T00:00:00Z</cp:lastPrinted>
  <dcterms:created xsi:type="dcterms:W3CDTF">2024-10-04T13:13:00Z</dcterms:created>
  <dcterms:modified xsi:type="dcterms:W3CDTF">2024-10-07T19:03:00Z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